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b/>
          <w:i/>
          <w:sz w:val="32"/>
          <w:u w:val="single"/>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b/>
          <w:i/>
          <w:sz w:val="32"/>
          <w:u w:val="single"/>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b/>
          <w:i/>
          <w:sz w:val="32"/>
          <w:u w:val="single"/>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b/>
          <w:i/>
          <w:sz w:val="32"/>
          <w:u w:val="single"/>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b/>
          <w:i/>
          <w:sz w:val="32"/>
          <w:u w:val="single"/>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b/>
          <w:i/>
          <w:sz w:val="32"/>
          <w:u w:val="single"/>
        </w:rPr>
      </w:pPr>
    </w:p>
    <w:p w:rsidR="005C70A5" w:rsidRDefault="005C70A5" w:rsidP="005C70A5">
      <w:pPr>
        <w:pStyle w:val="Heading4"/>
        <w:spacing w:after="0"/>
        <w:rPr>
          <w:rFonts w:ascii="Arial" w:hAnsi="Arial"/>
          <w:color w:val="FF00FF"/>
        </w:rPr>
      </w:pPr>
      <w:r>
        <w:rPr>
          <w:rFonts w:ascii="Arial" w:hAnsi="Arial"/>
          <w:color w:val="FF00FF"/>
        </w:rPr>
        <w:t>IOWA NATURAL HERITAGE FOUNDATION</w:t>
      </w: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b/>
          <w:color w:val="FF00FF"/>
          <w:sz w:val="28"/>
        </w:rPr>
      </w:pPr>
    </w:p>
    <w:p w:rsidR="005C70A5" w:rsidRDefault="005C70A5" w:rsidP="005C70A5">
      <w:pPr>
        <w:pStyle w:val="Heading7"/>
        <w:pBdr>
          <w:bottom w:val="single" w:sz="4" w:space="31" w:color="auto"/>
        </w:pBdr>
        <w:spacing w:after="0"/>
        <w:rPr>
          <w:rFonts w:ascii="Arial" w:hAnsi="Arial"/>
          <w:color w:val="FF00FF"/>
        </w:rPr>
      </w:pPr>
      <w:r>
        <w:rPr>
          <w:rFonts w:ascii="Arial" w:hAnsi="Arial"/>
          <w:color w:val="FF00FF"/>
        </w:rPr>
        <w:t>STATEMENT OF INVESTMENT POLICY</w:t>
      </w: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color w:val="FF00FF"/>
          <w:sz w:val="28"/>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color w:val="FF00FF"/>
        </w:rPr>
      </w:pPr>
      <w:r>
        <w:rPr>
          <w:rFonts w:ascii="Arial" w:hAnsi="Arial"/>
          <w:color w:val="FF00FF"/>
        </w:rPr>
        <w:t>Originally adopted August 19, 1993</w:t>
      </w: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color w:val="FF00FF"/>
        </w:rPr>
      </w:pPr>
      <w:r>
        <w:rPr>
          <w:rFonts w:ascii="Arial" w:hAnsi="Arial"/>
          <w:color w:val="FF00FF"/>
        </w:rPr>
        <w:t>Amended October 24, 1997</w:t>
      </w: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color w:val="FF00FF"/>
        </w:rPr>
      </w:pPr>
      <w:r>
        <w:rPr>
          <w:rFonts w:ascii="Arial" w:hAnsi="Arial"/>
          <w:color w:val="FF00FF"/>
        </w:rPr>
        <w:t>Amended December 1</w:t>
      </w:r>
      <w:r>
        <w:rPr>
          <w:rFonts w:ascii="Arial" w:hAnsi="Arial"/>
          <w:color w:val="FF00FF"/>
        </w:rPr>
        <w:t>5</w:t>
      </w:r>
      <w:r>
        <w:rPr>
          <w:rFonts w:ascii="Arial" w:hAnsi="Arial"/>
          <w:color w:val="FF00FF"/>
        </w:rPr>
        <w:t>, 2005</w:t>
      </w: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r>
        <w:rPr>
          <w:rFonts w:ascii="Arial" w:hAnsi="Arial"/>
        </w:rPr>
        <w:t>Prepared:</w:t>
      </w: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rPr>
      </w:pPr>
      <w:r>
        <w:rPr>
          <w:rFonts w:ascii="Arial" w:hAnsi="Arial"/>
        </w:rPr>
        <w:t>Date</w:t>
      </w: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sz w:val="22"/>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sz w:val="22"/>
        </w:rPr>
      </w:pPr>
    </w:p>
    <w:p w:rsidR="005C70A5" w:rsidRDefault="005C70A5" w:rsidP="005C70A5">
      <w:pPr>
        <w:pBdr>
          <w:top w:val="single" w:sz="4" w:space="1" w:color="auto"/>
          <w:left w:val="single" w:sz="4" w:space="4" w:color="auto"/>
          <w:bottom w:val="single" w:sz="4" w:space="31" w:color="auto"/>
          <w:right w:val="single" w:sz="4" w:space="4" w:color="auto"/>
        </w:pBdr>
        <w:spacing w:after="0"/>
        <w:jc w:val="center"/>
        <w:rPr>
          <w:rFonts w:ascii="Arial" w:hAnsi="Arial"/>
          <w:sz w:val="22"/>
        </w:rPr>
      </w:pPr>
    </w:p>
    <w:p w:rsidR="005C70A5" w:rsidRDefault="005C70A5" w:rsidP="005C70A5">
      <w:pPr>
        <w:pStyle w:val="Heading8"/>
        <w:spacing w:before="0" w:after="0"/>
        <w:jc w:val="center"/>
        <w:rPr>
          <w:rFonts w:ascii="Arial" w:hAnsi="Arial"/>
          <w:color w:val="FF00FF"/>
          <w:sz w:val="22"/>
        </w:rPr>
      </w:pPr>
      <w:r>
        <w:rPr>
          <w:rFonts w:ascii="Arial" w:hAnsi="Arial"/>
          <w:i w:val="0"/>
          <w:sz w:val="22"/>
          <w:u w:val="single"/>
        </w:rPr>
        <w:br w:type="page"/>
      </w:r>
      <w:r>
        <w:rPr>
          <w:rFonts w:ascii="Arial" w:hAnsi="Arial"/>
          <w:i w:val="0"/>
          <w:color w:val="FF00FF"/>
          <w:sz w:val="22"/>
          <w:u w:val="single"/>
        </w:rPr>
        <w:t>Iowa Natural Heritage Foundation</w:t>
      </w:r>
    </w:p>
    <w:p w:rsidR="005C70A5" w:rsidRDefault="005C70A5" w:rsidP="005C70A5">
      <w:pPr>
        <w:spacing w:after="0"/>
        <w:jc w:val="center"/>
        <w:rPr>
          <w:rFonts w:ascii="Arial" w:hAnsi="Arial"/>
          <w:b/>
          <w:sz w:val="20"/>
        </w:rPr>
      </w:pPr>
      <w:r>
        <w:rPr>
          <w:rFonts w:ascii="Arial" w:hAnsi="Arial"/>
          <w:b/>
          <w:sz w:val="20"/>
        </w:rPr>
        <w:t>STATEMENT OF INVESTMENT POLICY</w:t>
      </w:r>
    </w:p>
    <w:p w:rsidR="005C70A5" w:rsidRDefault="005C70A5" w:rsidP="005C70A5">
      <w:pPr>
        <w:pStyle w:val="Subheading"/>
        <w:numPr>
          <w:ilvl w:val="0"/>
          <w:numId w:val="11"/>
        </w:numPr>
        <w:spacing w:before="0" w:after="0"/>
        <w:jc w:val="both"/>
        <w:rPr>
          <w:rFonts w:ascii="Arial" w:hAnsi="Arial"/>
          <w:b/>
          <w:sz w:val="20"/>
        </w:rPr>
      </w:pPr>
      <w:r>
        <w:rPr>
          <w:rFonts w:ascii="Arial" w:hAnsi="Arial"/>
          <w:b/>
          <w:sz w:val="20"/>
        </w:rPr>
        <w:t>PURPOSE</w:t>
      </w:r>
    </w:p>
    <w:p w:rsidR="005C70A5" w:rsidRDefault="005C70A5" w:rsidP="005C70A5">
      <w:pPr>
        <w:pStyle w:val="123"/>
        <w:numPr>
          <w:ilvl w:val="0"/>
          <w:numId w:val="0"/>
        </w:numPr>
        <w:spacing w:after="0"/>
        <w:ind w:left="180"/>
        <w:rPr>
          <w:rFonts w:ascii="Arial" w:hAnsi="Arial"/>
          <w:color w:val="FF00FF"/>
          <w:sz w:val="20"/>
        </w:rPr>
      </w:pPr>
      <w:r>
        <w:rPr>
          <w:rFonts w:ascii="Arial" w:hAnsi="Arial"/>
          <w:color w:val="FF00FF"/>
          <w:sz w:val="20"/>
        </w:rPr>
        <w:t>The Iowa Natural Heritage Foundation Investment Committee (the “Committee”) has developed a Statement of Investment Policy (the “Policy”) in order to establish investment objectives and guidelines for the management and monitoring of investments utilized within the Iowa Natural Heritage Foundation Portfolio (the “Portfolio”).</w:t>
      </w:r>
      <w:r>
        <w:rPr>
          <w:rFonts w:ascii="Arial" w:hAnsi="Arial"/>
          <w:color w:val="FF00FF"/>
          <w:sz w:val="20"/>
        </w:rPr>
        <w:t xml:space="preserve">  </w:t>
      </w:r>
      <w:proofErr w:type="gramStart"/>
      <w:r>
        <w:rPr>
          <w:rFonts w:ascii="Arial" w:hAnsi="Arial"/>
          <w:color w:val="FF00FF"/>
          <w:sz w:val="20"/>
        </w:rPr>
        <w:t>This Policy was also approved by the Board of Directors</w:t>
      </w:r>
      <w:proofErr w:type="gramEnd"/>
      <w:r>
        <w:rPr>
          <w:rFonts w:ascii="Arial" w:hAnsi="Arial"/>
          <w:color w:val="FF00FF"/>
          <w:sz w:val="20"/>
        </w:rPr>
        <w:t xml:space="preserve"> on December 15, 2005.</w:t>
      </w:r>
    </w:p>
    <w:p w:rsidR="005C70A5" w:rsidRDefault="005C70A5" w:rsidP="005C70A5">
      <w:pPr>
        <w:pStyle w:val="123"/>
        <w:numPr>
          <w:ilvl w:val="0"/>
          <w:numId w:val="0"/>
        </w:numPr>
        <w:spacing w:after="0"/>
        <w:ind w:left="180"/>
        <w:rPr>
          <w:rFonts w:ascii="Arial" w:hAnsi="Arial"/>
          <w:snapToGrid w:val="0"/>
          <w:sz w:val="20"/>
        </w:rPr>
      </w:pPr>
    </w:p>
    <w:p w:rsidR="005C70A5" w:rsidRDefault="005C70A5" w:rsidP="005C70A5">
      <w:pPr>
        <w:pStyle w:val="123"/>
        <w:numPr>
          <w:ilvl w:val="0"/>
          <w:numId w:val="0"/>
        </w:numPr>
        <w:spacing w:after="0"/>
        <w:ind w:left="180"/>
        <w:rPr>
          <w:rFonts w:ascii="Arial" w:hAnsi="Arial"/>
          <w:sz w:val="20"/>
        </w:rPr>
      </w:pPr>
      <w:r>
        <w:rPr>
          <w:rFonts w:ascii="Arial" w:hAnsi="Arial"/>
          <w:snapToGrid w:val="0"/>
          <w:sz w:val="20"/>
        </w:rPr>
        <w:t>The Policy contained herein is intended to be a guide for the Committee and the Investment Manager (the “Manager”), if any is hired.</w:t>
      </w:r>
    </w:p>
    <w:p w:rsidR="005C70A5" w:rsidRDefault="005C70A5" w:rsidP="005C70A5">
      <w:pPr>
        <w:pStyle w:val="123"/>
        <w:numPr>
          <w:ilvl w:val="0"/>
          <w:numId w:val="0"/>
        </w:numPr>
        <w:spacing w:after="0"/>
        <w:ind w:left="180"/>
        <w:rPr>
          <w:rFonts w:ascii="Arial" w:hAnsi="Arial"/>
          <w:b/>
          <w:sz w:val="20"/>
        </w:rPr>
      </w:pPr>
    </w:p>
    <w:p w:rsidR="005C70A5" w:rsidRDefault="005C70A5" w:rsidP="005C70A5">
      <w:pPr>
        <w:pStyle w:val="123"/>
        <w:numPr>
          <w:ilvl w:val="0"/>
          <w:numId w:val="11"/>
        </w:numPr>
        <w:spacing w:after="0"/>
        <w:rPr>
          <w:rFonts w:ascii="Arial" w:hAnsi="Arial"/>
          <w:b/>
          <w:sz w:val="20"/>
        </w:rPr>
      </w:pPr>
      <w:r>
        <w:rPr>
          <w:rFonts w:ascii="Arial" w:hAnsi="Arial"/>
          <w:b/>
          <w:sz w:val="20"/>
        </w:rPr>
        <w:t>BACKGROUND</w:t>
      </w:r>
    </w:p>
    <w:p w:rsidR="005C70A5" w:rsidRDefault="005C70A5" w:rsidP="005C70A5">
      <w:pPr>
        <w:pStyle w:val="123"/>
        <w:numPr>
          <w:ilvl w:val="0"/>
          <w:numId w:val="0"/>
        </w:numPr>
        <w:spacing w:after="0"/>
        <w:ind w:left="180"/>
        <w:rPr>
          <w:rFonts w:ascii="Arial" w:hAnsi="Arial"/>
          <w:color w:val="FF00FF"/>
          <w:sz w:val="20"/>
        </w:rPr>
      </w:pPr>
      <w:r>
        <w:rPr>
          <w:rFonts w:ascii="Arial" w:hAnsi="Arial"/>
          <w:color w:val="FF00FF"/>
          <w:sz w:val="20"/>
        </w:rPr>
        <w:t>The Portfolio Assets (the “Assets”) are exempt from federal income taxes under IRC Section 501(c)(3).</w:t>
      </w:r>
    </w:p>
    <w:p w:rsidR="005C70A5" w:rsidRDefault="005C70A5" w:rsidP="005C70A5">
      <w:pPr>
        <w:pStyle w:val="123"/>
        <w:numPr>
          <w:ilvl w:val="0"/>
          <w:numId w:val="0"/>
        </w:numPr>
        <w:spacing w:after="0"/>
        <w:ind w:left="720" w:hanging="720"/>
        <w:rPr>
          <w:rFonts w:ascii="Arial" w:hAnsi="Arial"/>
          <w:b/>
          <w:sz w:val="20"/>
        </w:rPr>
      </w:pPr>
    </w:p>
    <w:p w:rsidR="005C70A5" w:rsidRDefault="005C70A5" w:rsidP="005C70A5">
      <w:pPr>
        <w:pStyle w:val="123"/>
        <w:numPr>
          <w:ilvl w:val="0"/>
          <w:numId w:val="11"/>
        </w:numPr>
        <w:spacing w:after="0"/>
        <w:rPr>
          <w:rFonts w:ascii="Arial" w:hAnsi="Arial"/>
          <w:b/>
          <w:sz w:val="20"/>
        </w:rPr>
      </w:pPr>
      <w:r>
        <w:rPr>
          <w:rFonts w:ascii="Arial" w:hAnsi="Arial"/>
          <w:b/>
          <w:sz w:val="20"/>
        </w:rPr>
        <w:t>DISCRETIONARY AUTHORITY</w:t>
      </w:r>
    </w:p>
    <w:p w:rsidR="005C70A5" w:rsidRDefault="005C70A5" w:rsidP="005C70A5">
      <w:pPr>
        <w:pStyle w:val="123"/>
        <w:numPr>
          <w:ilvl w:val="0"/>
          <w:numId w:val="0"/>
        </w:numPr>
        <w:spacing w:after="0"/>
        <w:ind w:left="180"/>
        <w:rPr>
          <w:rFonts w:ascii="Arial" w:hAnsi="Arial"/>
          <w:sz w:val="20"/>
        </w:rPr>
      </w:pPr>
      <w:r>
        <w:rPr>
          <w:rFonts w:ascii="Arial" w:hAnsi="Arial"/>
          <w:sz w:val="20"/>
        </w:rPr>
        <w:t>T</w:t>
      </w:r>
      <w:r>
        <w:rPr>
          <w:rFonts w:ascii="Arial" w:hAnsi="Arial"/>
          <w:sz w:val="20"/>
        </w:rPr>
        <w:t>he Committee may grant the Manager full discretion to buy, sell, invest and reinvest the Assets consistent with the policy and guidelines set forth in this document. Investments will be limited to marketable securities including common and preferred stocks, convertible securities, government, municipal and corporate bonds, mutual and collective investment funds, and short-term money market instruments.</w:t>
      </w:r>
    </w:p>
    <w:p w:rsidR="005C70A5" w:rsidRDefault="005C70A5" w:rsidP="005C70A5">
      <w:pPr>
        <w:pStyle w:val="123"/>
        <w:numPr>
          <w:ilvl w:val="0"/>
          <w:numId w:val="0"/>
        </w:numPr>
        <w:spacing w:after="0"/>
        <w:ind w:left="720" w:hanging="720"/>
        <w:rPr>
          <w:rFonts w:ascii="Arial" w:hAnsi="Arial"/>
          <w:b/>
          <w:sz w:val="20"/>
        </w:rPr>
      </w:pPr>
    </w:p>
    <w:p w:rsidR="005C70A5" w:rsidRDefault="005C70A5" w:rsidP="005C70A5">
      <w:pPr>
        <w:pStyle w:val="123"/>
        <w:numPr>
          <w:ilvl w:val="0"/>
          <w:numId w:val="11"/>
        </w:numPr>
        <w:spacing w:after="0"/>
        <w:rPr>
          <w:rFonts w:ascii="Arial" w:hAnsi="Arial"/>
          <w:b/>
          <w:sz w:val="20"/>
        </w:rPr>
      </w:pPr>
      <w:r>
        <w:rPr>
          <w:rFonts w:ascii="Arial" w:hAnsi="Arial"/>
          <w:b/>
          <w:sz w:val="20"/>
        </w:rPr>
        <w:t>OBJECTIVE</w:t>
      </w:r>
    </w:p>
    <w:p w:rsidR="005C70A5" w:rsidRDefault="005C70A5" w:rsidP="005C70A5">
      <w:pPr>
        <w:pStyle w:val="123"/>
        <w:numPr>
          <w:ilvl w:val="0"/>
          <w:numId w:val="0"/>
        </w:numPr>
        <w:spacing w:after="0"/>
        <w:ind w:left="180"/>
        <w:rPr>
          <w:rFonts w:ascii="Arial" w:hAnsi="Arial"/>
          <w:sz w:val="20"/>
        </w:rPr>
      </w:pPr>
      <w:r>
        <w:rPr>
          <w:rFonts w:ascii="Arial" w:hAnsi="Arial"/>
          <w:sz w:val="20"/>
        </w:rPr>
        <w:t xml:space="preserve">The Committee has established a long-term return objective (the “Objective”) for the Portfolio of </w:t>
      </w:r>
      <w:r>
        <w:rPr>
          <w:rFonts w:ascii="Arial" w:hAnsi="Arial"/>
          <w:sz w:val="20"/>
          <w:highlight w:val="yellow"/>
        </w:rPr>
        <w:t>___</w:t>
      </w:r>
      <w:r>
        <w:rPr>
          <w:rFonts w:ascii="Arial" w:hAnsi="Arial"/>
          <w:sz w:val="20"/>
        </w:rPr>
        <w:t xml:space="preserve"> percent to be achieved through a combination of income and capital appreciation, in a manner consistent with the fiduciary standards and with sound investment practices. Accordingly, the Manager will exercise the care, skill, prudence and diligence in the management of the Assets.</w:t>
      </w:r>
    </w:p>
    <w:p w:rsidR="005C70A5" w:rsidRDefault="005C70A5" w:rsidP="005C70A5">
      <w:pPr>
        <w:pStyle w:val="123"/>
        <w:numPr>
          <w:ilvl w:val="0"/>
          <w:numId w:val="0"/>
        </w:numPr>
        <w:spacing w:after="0"/>
        <w:ind w:left="180"/>
        <w:rPr>
          <w:rFonts w:ascii="Arial" w:hAnsi="Arial"/>
          <w:sz w:val="20"/>
        </w:rPr>
      </w:pPr>
    </w:p>
    <w:p w:rsidR="005C70A5" w:rsidRDefault="005C70A5" w:rsidP="005C70A5">
      <w:pPr>
        <w:pStyle w:val="123"/>
        <w:numPr>
          <w:ilvl w:val="0"/>
          <w:numId w:val="0"/>
        </w:numPr>
        <w:spacing w:after="0"/>
        <w:ind w:left="180"/>
        <w:rPr>
          <w:rFonts w:ascii="Arial" w:hAnsi="Arial"/>
          <w:sz w:val="20"/>
        </w:rPr>
      </w:pPr>
      <w:r>
        <w:rPr>
          <w:rFonts w:ascii="Arial" w:hAnsi="Arial"/>
          <w:sz w:val="20"/>
        </w:rPr>
        <w:t>It is expected that there will be some periods within which the Objective cannot be met because of general market conditions, hyperinflation or other factors unrelated to disciplined, long-term investment judgment. To avoid encouraging short-term investment changes by the Manager to meet the stated Objective each year, the Committee has established a Policy benchmark (the “Benchmark”) for the purpose of measuring the relative performance of the Manager in managing the Assets (see sections V and VI).</w:t>
      </w:r>
    </w:p>
    <w:p w:rsidR="005C70A5" w:rsidRDefault="005C70A5" w:rsidP="005C70A5">
      <w:pPr>
        <w:pStyle w:val="123"/>
        <w:numPr>
          <w:ilvl w:val="0"/>
          <w:numId w:val="0"/>
        </w:numPr>
        <w:spacing w:after="0"/>
        <w:ind w:left="720" w:hanging="720"/>
        <w:rPr>
          <w:rFonts w:ascii="Arial" w:hAnsi="Arial"/>
          <w:b/>
          <w:sz w:val="20"/>
        </w:rPr>
      </w:pPr>
    </w:p>
    <w:p w:rsidR="005C70A5" w:rsidRDefault="005C70A5" w:rsidP="005C70A5">
      <w:pPr>
        <w:pStyle w:val="123"/>
        <w:numPr>
          <w:ilvl w:val="0"/>
          <w:numId w:val="11"/>
        </w:numPr>
        <w:spacing w:after="0"/>
        <w:rPr>
          <w:rFonts w:ascii="Arial" w:hAnsi="Arial"/>
          <w:b/>
          <w:sz w:val="20"/>
        </w:rPr>
      </w:pPr>
      <w:r>
        <w:rPr>
          <w:rFonts w:ascii="Arial" w:hAnsi="Arial"/>
          <w:b/>
          <w:sz w:val="20"/>
        </w:rPr>
        <w:t>INVESTMENT PERFORMANCE</w:t>
      </w:r>
    </w:p>
    <w:p w:rsidR="005C70A5" w:rsidRDefault="005C70A5" w:rsidP="005C70A5">
      <w:pPr>
        <w:pStyle w:val="123"/>
        <w:numPr>
          <w:ilvl w:val="0"/>
          <w:numId w:val="0"/>
        </w:numPr>
        <w:spacing w:after="0"/>
        <w:ind w:left="180"/>
        <w:rPr>
          <w:rFonts w:ascii="Arial" w:hAnsi="Arial"/>
          <w:sz w:val="20"/>
        </w:rPr>
      </w:pPr>
      <w:r>
        <w:rPr>
          <w:rFonts w:ascii="Arial" w:hAnsi="Arial"/>
          <w:sz w:val="20"/>
        </w:rPr>
        <w:t>Investment performance will be measured quarterly, but it is not expected that Portfolio performance will meet or exceed the Benchmark each quarter or year. However, it is expected that the Portfolio will meet or exceed the Benchmark, over a Full Market Cycle (a “Cycle”). A Cycle, for this purpose, is considered to be a period of three to five years. The Market (the “Market”) for the Portfolio is set by the Benchmark as defined by the underlying target weightings of each index within the Benchmark, as stated in section VI. In addition, the performance of each investment fund utilized within the overall Portfolio should be competitive over a Cycle with its established benchmark based on investment objective, investment style and market capitalization. The measurement of investment performance will take into consideration the following:</w:t>
      </w:r>
    </w:p>
    <w:p w:rsidR="005C70A5" w:rsidRDefault="005C70A5" w:rsidP="005C70A5">
      <w:pPr>
        <w:pStyle w:val="123"/>
        <w:numPr>
          <w:ilvl w:val="0"/>
          <w:numId w:val="0"/>
        </w:numPr>
        <w:spacing w:after="0"/>
        <w:ind w:left="180"/>
        <w:rPr>
          <w:rFonts w:ascii="Arial" w:hAnsi="Arial"/>
          <w:b/>
          <w:sz w:val="20"/>
          <w:u w:val="single"/>
        </w:rPr>
      </w:pPr>
    </w:p>
    <w:p w:rsidR="005C70A5" w:rsidRDefault="005C70A5" w:rsidP="005C70A5">
      <w:pPr>
        <w:pStyle w:val="123"/>
        <w:numPr>
          <w:ilvl w:val="0"/>
          <w:numId w:val="0"/>
        </w:numPr>
        <w:spacing w:after="0"/>
        <w:ind w:left="180"/>
        <w:rPr>
          <w:rFonts w:ascii="Arial" w:hAnsi="Arial"/>
          <w:sz w:val="20"/>
        </w:rPr>
      </w:pPr>
      <w:r>
        <w:rPr>
          <w:rFonts w:ascii="Arial" w:hAnsi="Arial"/>
          <w:b/>
          <w:sz w:val="20"/>
          <w:u w:val="single"/>
        </w:rPr>
        <w:t>Return Objective</w:t>
      </w:r>
    </w:p>
    <w:p w:rsidR="005C70A5" w:rsidRDefault="005C70A5" w:rsidP="005C70A5">
      <w:pPr>
        <w:pStyle w:val="123"/>
        <w:numPr>
          <w:ilvl w:val="0"/>
          <w:numId w:val="0"/>
        </w:numPr>
        <w:spacing w:after="0"/>
        <w:ind w:left="180"/>
        <w:rPr>
          <w:rFonts w:ascii="Arial" w:hAnsi="Arial"/>
          <w:sz w:val="20"/>
        </w:rPr>
      </w:pPr>
      <w:r>
        <w:rPr>
          <w:rFonts w:ascii="Arial" w:hAnsi="Arial"/>
          <w:sz w:val="20"/>
        </w:rPr>
        <w:t>The minimum average annual return objective for the Portfolio, measured over a Cycle, shall be to generate a return that meets or exceeds that of the Benchmark.  Accordingly, the Manager is accountable for the returns of the Portfolio and each of the underlying investment funds.</w:t>
      </w:r>
    </w:p>
    <w:p w:rsidR="005C70A5" w:rsidRDefault="005C70A5" w:rsidP="005C70A5">
      <w:pPr>
        <w:pStyle w:val="123"/>
        <w:numPr>
          <w:ilvl w:val="0"/>
          <w:numId w:val="0"/>
        </w:numPr>
        <w:spacing w:after="0"/>
        <w:ind w:left="180"/>
        <w:rPr>
          <w:rFonts w:ascii="Arial" w:hAnsi="Arial"/>
          <w:b/>
          <w:sz w:val="20"/>
          <w:u w:val="single"/>
        </w:rPr>
      </w:pPr>
    </w:p>
    <w:p w:rsidR="005C70A5" w:rsidRDefault="005C70A5" w:rsidP="005C70A5">
      <w:pPr>
        <w:pStyle w:val="123"/>
        <w:numPr>
          <w:ilvl w:val="0"/>
          <w:numId w:val="0"/>
        </w:numPr>
        <w:spacing w:after="0"/>
        <w:ind w:left="180"/>
        <w:rPr>
          <w:rFonts w:ascii="Arial" w:hAnsi="Arial"/>
          <w:b/>
          <w:sz w:val="20"/>
          <w:u w:val="single"/>
        </w:rPr>
      </w:pPr>
      <w:r>
        <w:rPr>
          <w:rFonts w:ascii="Arial" w:hAnsi="Arial"/>
          <w:b/>
          <w:sz w:val="20"/>
          <w:u w:val="single"/>
        </w:rPr>
        <w:t>Risk Parameters</w:t>
      </w:r>
    </w:p>
    <w:p w:rsidR="005C70A5" w:rsidRDefault="005C70A5" w:rsidP="005C70A5">
      <w:pPr>
        <w:pStyle w:val="123"/>
        <w:numPr>
          <w:ilvl w:val="0"/>
          <w:numId w:val="0"/>
        </w:numPr>
        <w:shd w:val="clear" w:color="auto" w:fill="FFFFFF"/>
        <w:spacing w:after="0"/>
        <w:ind w:left="180"/>
        <w:rPr>
          <w:rFonts w:ascii="Arial" w:hAnsi="Arial"/>
          <w:sz w:val="20"/>
        </w:rPr>
      </w:pPr>
      <w:r>
        <w:rPr>
          <w:rFonts w:ascii="Arial" w:hAnsi="Arial"/>
          <w:sz w:val="20"/>
        </w:rPr>
        <w:t>The Portfolio should experience risk (volatility and variability of returns) comparable to that of the Benchmark as measured over a Cycle.  Accordingly, the Manager is accountable for the risk of the Portfolio and each of the underlying investment funds.</w:t>
      </w:r>
    </w:p>
    <w:p w:rsidR="005C70A5" w:rsidRDefault="005C70A5" w:rsidP="005C70A5">
      <w:pPr>
        <w:pStyle w:val="Heading1"/>
        <w:spacing w:after="0" w:line="240" w:lineRule="auto"/>
        <w:ind w:left="720" w:hanging="720"/>
        <w:jc w:val="both"/>
        <w:rPr>
          <w:rFonts w:ascii="Arial" w:hAnsi="Arial"/>
          <w:sz w:val="20"/>
        </w:rPr>
      </w:pPr>
    </w:p>
    <w:p w:rsidR="005C70A5" w:rsidRDefault="005C70A5" w:rsidP="005C70A5">
      <w:pPr>
        <w:pStyle w:val="Heading1"/>
        <w:numPr>
          <w:ilvl w:val="0"/>
          <w:numId w:val="11"/>
        </w:numPr>
        <w:spacing w:after="0" w:line="240" w:lineRule="auto"/>
        <w:jc w:val="both"/>
        <w:rPr>
          <w:rFonts w:ascii="Arial" w:hAnsi="Arial"/>
          <w:sz w:val="20"/>
          <w:u w:val="single"/>
        </w:rPr>
      </w:pPr>
      <w:r>
        <w:rPr>
          <w:rFonts w:ascii="Arial" w:hAnsi="Arial"/>
          <w:sz w:val="20"/>
        </w:rPr>
        <w:t>ASSET ALLOCATION</w:t>
      </w:r>
    </w:p>
    <w:p w:rsidR="005C70A5" w:rsidRDefault="005C70A5" w:rsidP="005C70A5">
      <w:pPr>
        <w:pStyle w:val="123"/>
        <w:numPr>
          <w:ilvl w:val="0"/>
          <w:numId w:val="0"/>
        </w:numPr>
        <w:spacing w:after="0"/>
        <w:ind w:left="180"/>
        <w:rPr>
          <w:rFonts w:ascii="Arial" w:hAnsi="Arial"/>
          <w:sz w:val="20"/>
        </w:rPr>
      </w:pPr>
      <w:r>
        <w:rPr>
          <w:rFonts w:ascii="Arial" w:hAnsi="Arial"/>
          <w:b/>
          <w:sz w:val="20"/>
          <w:u w:val="single"/>
          <w:shd w:val="clear" w:color="auto" w:fill="FFFFFF"/>
        </w:rPr>
        <w:t>Asset Mix</w:t>
      </w:r>
    </w:p>
    <w:p w:rsidR="005C70A5" w:rsidRDefault="005C70A5" w:rsidP="005C70A5">
      <w:pPr>
        <w:pStyle w:val="123"/>
        <w:numPr>
          <w:ilvl w:val="0"/>
          <w:numId w:val="0"/>
        </w:numPr>
        <w:spacing w:after="0"/>
        <w:ind w:left="180"/>
        <w:rPr>
          <w:rFonts w:ascii="Arial" w:hAnsi="Arial"/>
          <w:sz w:val="20"/>
        </w:rPr>
      </w:pPr>
      <w:r>
        <w:rPr>
          <w:rFonts w:ascii="Arial" w:hAnsi="Arial"/>
          <w:sz w:val="20"/>
        </w:rPr>
        <w:t xml:space="preserve">The Manager has the discretion to vary the ratio of stocks, bonds or cash within the parameters set forth below to maximize total return commensurate with potential risk. If asset allocations fall outside the parameters expressed below, the Manager will re-balance the portfolio to bring it within the allocation limits expressed below within one (1) calendar quarter. Allocations should not remain outside the stated maximums and minimums without written approval from the Committee. </w:t>
      </w:r>
    </w:p>
    <w:p w:rsidR="005C70A5" w:rsidRDefault="005C70A5" w:rsidP="005C70A5">
      <w:pPr>
        <w:pStyle w:val="123"/>
        <w:numPr>
          <w:ilvl w:val="0"/>
          <w:numId w:val="0"/>
        </w:numPr>
        <w:spacing w:after="0"/>
        <w:ind w:left="180"/>
        <w:rPr>
          <w:rFonts w:ascii="Arial" w:hAnsi="Arial"/>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410"/>
        <w:gridCol w:w="1374"/>
        <w:gridCol w:w="3876"/>
      </w:tblGrid>
      <w:tr w:rsidR="005C70A5">
        <w:trPr>
          <w:trHeight w:val="360"/>
        </w:trPr>
        <w:tc>
          <w:tcPr>
            <w:tcW w:w="2808" w:type="dxa"/>
            <w:vAlign w:val="bottom"/>
          </w:tcPr>
          <w:p w:rsidR="005C70A5" w:rsidRDefault="005C70A5">
            <w:pPr>
              <w:pStyle w:val="123"/>
              <w:numPr>
                <w:ilvl w:val="0"/>
                <w:numId w:val="0"/>
              </w:numPr>
              <w:spacing w:after="0"/>
              <w:ind w:left="180"/>
              <w:jc w:val="both"/>
              <w:rPr>
                <w:rFonts w:ascii="Arial" w:hAnsi="Arial"/>
                <w:color w:val="FF00FF"/>
                <w:sz w:val="16"/>
              </w:rPr>
            </w:pPr>
          </w:p>
        </w:tc>
        <w:tc>
          <w:tcPr>
            <w:tcW w:w="1410" w:type="dxa"/>
            <w:tcBorders>
              <w:bottom w:val="single" w:sz="4" w:space="0" w:color="auto"/>
            </w:tcBorders>
            <w:vAlign w:val="bottom"/>
          </w:tcPr>
          <w:p w:rsidR="005C70A5" w:rsidRDefault="005C70A5">
            <w:pPr>
              <w:pStyle w:val="123"/>
              <w:numPr>
                <w:ilvl w:val="0"/>
                <w:numId w:val="0"/>
              </w:numPr>
              <w:spacing w:after="0"/>
              <w:ind w:left="180"/>
              <w:jc w:val="center"/>
              <w:rPr>
                <w:rFonts w:ascii="Arial" w:hAnsi="Arial"/>
                <w:b/>
                <w:color w:val="FF00FF"/>
                <w:sz w:val="16"/>
              </w:rPr>
            </w:pPr>
            <w:r>
              <w:rPr>
                <w:rFonts w:ascii="Arial" w:hAnsi="Arial"/>
                <w:b/>
                <w:color w:val="FF00FF"/>
                <w:sz w:val="16"/>
              </w:rPr>
              <w:t>Maximum %</w:t>
            </w:r>
          </w:p>
        </w:tc>
        <w:tc>
          <w:tcPr>
            <w:tcW w:w="1374" w:type="dxa"/>
            <w:tcBorders>
              <w:bottom w:val="single" w:sz="4" w:space="0" w:color="auto"/>
            </w:tcBorders>
            <w:vAlign w:val="bottom"/>
          </w:tcPr>
          <w:p w:rsidR="005C70A5" w:rsidRDefault="005C70A5">
            <w:pPr>
              <w:pStyle w:val="123"/>
              <w:numPr>
                <w:ilvl w:val="0"/>
                <w:numId w:val="0"/>
              </w:numPr>
              <w:spacing w:after="0"/>
              <w:ind w:left="180"/>
              <w:jc w:val="center"/>
              <w:rPr>
                <w:rFonts w:ascii="Arial" w:hAnsi="Arial"/>
                <w:b/>
                <w:color w:val="FF00FF"/>
                <w:sz w:val="16"/>
              </w:rPr>
            </w:pPr>
            <w:r>
              <w:rPr>
                <w:rFonts w:ascii="Arial" w:hAnsi="Arial"/>
                <w:b/>
                <w:color w:val="FF00FF"/>
                <w:sz w:val="16"/>
              </w:rPr>
              <w:t>Minimum %</w:t>
            </w:r>
          </w:p>
        </w:tc>
        <w:tc>
          <w:tcPr>
            <w:tcW w:w="3876" w:type="dxa"/>
            <w:vAlign w:val="bottom"/>
          </w:tcPr>
          <w:p w:rsidR="005C70A5" w:rsidRDefault="005C70A5">
            <w:pPr>
              <w:pStyle w:val="123"/>
              <w:numPr>
                <w:ilvl w:val="0"/>
                <w:numId w:val="0"/>
              </w:numPr>
              <w:spacing w:after="0"/>
              <w:ind w:left="180"/>
              <w:jc w:val="center"/>
              <w:rPr>
                <w:rFonts w:ascii="Arial" w:hAnsi="Arial"/>
                <w:b/>
                <w:color w:val="FF00FF"/>
                <w:sz w:val="16"/>
              </w:rPr>
            </w:pPr>
            <w:r>
              <w:rPr>
                <w:rFonts w:ascii="Arial" w:hAnsi="Arial"/>
                <w:b/>
                <w:color w:val="FF00FF"/>
                <w:sz w:val="16"/>
              </w:rPr>
              <w:t>Benchmark Targets</w:t>
            </w:r>
          </w:p>
        </w:tc>
      </w:tr>
      <w:tr w:rsidR="005C70A5">
        <w:trPr>
          <w:trHeight w:val="360"/>
        </w:trPr>
        <w:tc>
          <w:tcPr>
            <w:tcW w:w="2808" w:type="dxa"/>
            <w:tcBorders>
              <w:right w:val="single" w:sz="4" w:space="0" w:color="auto"/>
            </w:tcBorders>
            <w:vAlign w:val="bottom"/>
          </w:tcPr>
          <w:p w:rsidR="005C70A5" w:rsidRDefault="005C70A5">
            <w:pPr>
              <w:pStyle w:val="123"/>
              <w:numPr>
                <w:ilvl w:val="0"/>
                <w:numId w:val="0"/>
              </w:numPr>
              <w:spacing w:after="0"/>
              <w:ind w:left="180"/>
              <w:rPr>
                <w:rFonts w:ascii="Arial" w:hAnsi="Arial"/>
                <w:b/>
                <w:color w:val="FF00FF"/>
                <w:sz w:val="20"/>
              </w:rPr>
            </w:pPr>
            <w:r>
              <w:rPr>
                <w:rFonts w:ascii="Arial" w:hAnsi="Arial"/>
                <w:b/>
                <w:color w:val="FF00FF"/>
                <w:sz w:val="20"/>
              </w:rPr>
              <w:t>STOCKS</w:t>
            </w:r>
          </w:p>
        </w:tc>
        <w:tc>
          <w:tcPr>
            <w:tcW w:w="1410" w:type="dxa"/>
            <w:tcBorders>
              <w:top w:val="single" w:sz="4" w:space="0" w:color="auto"/>
              <w:left w:val="single" w:sz="4" w:space="0" w:color="auto"/>
              <w:bottom w:val="single" w:sz="4" w:space="0" w:color="auto"/>
              <w:right w:val="single" w:sz="4" w:space="0" w:color="auto"/>
            </w:tcBorders>
            <w:vAlign w:val="bottom"/>
          </w:tcPr>
          <w:p w:rsidR="005C70A5" w:rsidRDefault="005C70A5">
            <w:pPr>
              <w:pStyle w:val="123"/>
              <w:numPr>
                <w:ilvl w:val="0"/>
                <w:numId w:val="0"/>
              </w:numPr>
              <w:spacing w:after="0"/>
              <w:ind w:left="180"/>
              <w:jc w:val="center"/>
              <w:rPr>
                <w:rFonts w:ascii="Arial" w:hAnsi="Arial"/>
                <w:b/>
                <w:color w:val="FF00FF"/>
                <w:sz w:val="20"/>
              </w:rPr>
            </w:pPr>
            <w:r>
              <w:rPr>
                <w:rFonts w:ascii="Arial" w:hAnsi="Arial"/>
                <w:b/>
                <w:color w:val="FF00FF"/>
                <w:sz w:val="20"/>
              </w:rPr>
              <w:t>60%</w:t>
            </w:r>
          </w:p>
        </w:tc>
        <w:tc>
          <w:tcPr>
            <w:tcW w:w="1374" w:type="dxa"/>
            <w:tcBorders>
              <w:top w:val="single" w:sz="4" w:space="0" w:color="auto"/>
              <w:left w:val="single" w:sz="4" w:space="0" w:color="auto"/>
              <w:bottom w:val="single" w:sz="4" w:space="0" w:color="auto"/>
              <w:right w:val="single" w:sz="4" w:space="0" w:color="auto"/>
            </w:tcBorders>
            <w:vAlign w:val="bottom"/>
          </w:tcPr>
          <w:p w:rsidR="005C70A5" w:rsidRDefault="005C70A5">
            <w:pPr>
              <w:pStyle w:val="123"/>
              <w:numPr>
                <w:ilvl w:val="0"/>
                <w:numId w:val="0"/>
              </w:numPr>
              <w:spacing w:after="0"/>
              <w:ind w:left="180"/>
              <w:jc w:val="center"/>
              <w:rPr>
                <w:rFonts w:ascii="Arial" w:hAnsi="Arial"/>
                <w:b/>
                <w:color w:val="FF00FF"/>
                <w:sz w:val="20"/>
              </w:rPr>
            </w:pPr>
            <w:r>
              <w:rPr>
                <w:rFonts w:ascii="Arial" w:hAnsi="Arial"/>
                <w:b/>
                <w:color w:val="FF00FF"/>
                <w:sz w:val="20"/>
              </w:rPr>
              <w:t>40%</w:t>
            </w:r>
          </w:p>
        </w:tc>
        <w:tc>
          <w:tcPr>
            <w:tcW w:w="3876" w:type="dxa"/>
            <w:tcBorders>
              <w:left w:val="single" w:sz="4" w:space="0" w:color="auto"/>
            </w:tcBorders>
            <w:vAlign w:val="bottom"/>
          </w:tcPr>
          <w:p w:rsidR="005C70A5" w:rsidRDefault="005C70A5">
            <w:pPr>
              <w:pStyle w:val="123"/>
              <w:numPr>
                <w:ilvl w:val="0"/>
                <w:numId w:val="0"/>
              </w:numPr>
              <w:spacing w:after="0"/>
              <w:ind w:left="180"/>
              <w:rPr>
                <w:rFonts w:ascii="Arial" w:hAnsi="Arial"/>
                <w:b/>
                <w:color w:val="FF00FF"/>
                <w:sz w:val="20"/>
                <w:highlight w:val="yellow"/>
              </w:rPr>
            </w:pPr>
            <w:r>
              <w:rPr>
                <w:rFonts w:ascii="Arial" w:hAnsi="Arial"/>
                <w:b/>
                <w:color w:val="FF00FF"/>
                <w:sz w:val="20"/>
              </w:rPr>
              <w:t>50%</w:t>
            </w:r>
          </w:p>
        </w:tc>
      </w:tr>
      <w:tr w:rsidR="005C70A5">
        <w:trPr>
          <w:trHeight w:val="360"/>
        </w:trPr>
        <w:tc>
          <w:tcPr>
            <w:tcW w:w="2808" w:type="dxa"/>
            <w:vAlign w:val="bottom"/>
          </w:tcPr>
          <w:p w:rsidR="005C70A5" w:rsidRDefault="005C70A5">
            <w:pPr>
              <w:pStyle w:val="123"/>
              <w:numPr>
                <w:ilvl w:val="0"/>
                <w:numId w:val="0"/>
              </w:numPr>
              <w:spacing w:after="0"/>
              <w:ind w:left="180"/>
              <w:rPr>
                <w:rFonts w:ascii="Arial" w:hAnsi="Arial"/>
                <w:color w:val="FF00FF"/>
                <w:sz w:val="20"/>
              </w:rPr>
            </w:pPr>
            <w:r>
              <w:rPr>
                <w:rFonts w:ascii="Arial" w:hAnsi="Arial"/>
                <w:color w:val="FF00FF"/>
                <w:sz w:val="20"/>
              </w:rPr>
              <w:t xml:space="preserve">     Domestic Large Cap</w:t>
            </w:r>
          </w:p>
        </w:tc>
        <w:tc>
          <w:tcPr>
            <w:tcW w:w="1410" w:type="dxa"/>
            <w:tcBorders>
              <w:top w:val="single" w:sz="4" w:space="0" w:color="auto"/>
            </w:tcBorders>
            <w:vAlign w:val="bottom"/>
          </w:tcPr>
          <w:p w:rsidR="005C70A5" w:rsidRDefault="005C70A5">
            <w:pPr>
              <w:pStyle w:val="123"/>
              <w:numPr>
                <w:ilvl w:val="0"/>
                <w:numId w:val="0"/>
              </w:numPr>
              <w:spacing w:after="0"/>
              <w:ind w:left="180"/>
              <w:jc w:val="center"/>
              <w:rPr>
                <w:rFonts w:ascii="Arial" w:hAnsi="Arial"/>
                <w:color w:val="FF00FF"/>
                <w:sz w:val="20"/>
              </w:rPr>
            </w:pPr>
            <w:r>
              <w:rPr>
                <w:rFonts w:ascii="Arial" w:hAnsi="Arial"/>
                <w:color w:val="FF00FF"/>
                <w:sz w:val="20"/>
              </w:rPr>
              <w:t>55%</w:t>
            </w:r>
          </w:p>
        </w:tc>
        <w:tc>
          <w:tcPr>
            <w:tcW w:w="1374" w:type="dxa"/>
            <w:tcBorders>
              <w:top w:val="single" w:sz="4" w:space="0" w:color="auto"/>
            </w:tcBorders>
            <w:vAlign w:val="bottom"/>
          </w:tcPr>
          <w:p w:rsidR="005C70A5" w:rsidRDefault="005C70A5">
            <w:pPr>
              <w:pStyle w:val="123"/>
              <w:numPr>
                <w:ilvl w:val="0"/>
                <w:numId w:val="0"/>
              </w:numPr>
              <w:spacing w:after="0"/>
              <w:ind w:left="180"/>
              <w:jc w:val="center"/>
              <w:rPr>
                <w:rFonts w:ascii="Arial" w:hAnsi="Arial"/>
                <w:color w:val="FF00FF"/>
                <w:sz w:val="20"/>
              </w:rPr>
            </w:pPr>
            <w:r>
              <w:rPr>
                <w:rFonts w:ascii="Arial" w:hAnsi="Arial"/>
                <w:color w:val="FF00FF"/>
                <w:sz w:val="20"/>
              </w:rPr>
              <w:t>20%</w:t>
            </w:r>
          </w:p>
        </w:tc>
        <w:tc>
          <w:tcPr>
            <w:tcW w:w="3876" w:type="dxa"/>
            <w:vAlign w:val="bottom"/>
          </w:tcPr>
          <w:p w:rsidR="005C70A5" w:rsidRDefault="005C70A5">
            <w:pPr>
              <w:pStyle w:val="123"/>
              <w:numPr>
                <w:ilvl w:val="0"/>
                <w:numId w:val="0"/>
              </w:numPr>
              <w:spacing w:after="0"/>
              <w:ind w:left="180"/>
              <w:rPr>
                <w:rFonts w:ascii="Arial" w:hAnsi="Arial"/>
                <w:color w:val="FF00FF"/>
                <w:sz w:val="20"/>
                <w:highlight w:val="yellow"/>
              </w:rPr>
            </w:pPr>
            <w:r>
              <w:rPr>
                <w:rFonts w:ascii="Arial" w:hAnsi="Arial"/>
                <w:color w:val="FF00FF"/>
                <w:sz w:val="20"/>
              </w:rPr>
              <w:t xml:space="preserve">     35.0% S&amp;P 500</w:t>
            </w:r>
          </w:p>
        </w:tc>
      </w:tr>
      <w:tr w:rsidR="005C70A5">
        <w:trPr>
          <w:trHeight w:val="360"/>
        </w:trPr>
        <w:tc>
          <w:tcPr>
            <w:tcW w:w="2808" w:type="dxa"/>
            <w:vAlign w:val="bottom"/>
          </w:tcPr>
          <w:p w:rsidR="005C70A5" w:rsidRDefault="005C70A5">
            <w:pPr>
              <w:pStyle w:val="123"/>
              <w:numPr>
                <w:ilvl w:val="0"/>
                <w:numId w:val="0"/>
              </w:numPr>
              <w:spacing w:after="0"/>
              <w:ind w:left="180"/>
              <w:rPr>
                <w:rFonts w:ascii="Arial" w:hAnsi="Arial"/>
                <w:color w:val="FF00FF"/>
                <w:sz w:val="20"/>
              </w:rPr>
            </w:pPr>
            <w:r>
              <w:rPr>
                <w:rFonts w:ascii="Arial" w:hAnsi="Arial"/>
                <w:color w:val="FF00FF"/>
                <w:sz w:val="20"/>
              </w:rPr>
              <w:t xml:space="preserve">     Domestic Small Cap</w:t>
            </w:r>
          </w:p>
        </w:tc>
        <w:tc>
          <w:tcPr>
            <w:tcW w:w="1410" w:type="dxa"/>
            <w:tcBorders>
              <w:bottom w:val="single" w:sz="4" w:space="0" w:color="auto"/>
            </w:tcBorders>
            <w:vAlign w:val="bottom"/>
          </w:tcPr>
          <w:p w:rsidR="005C70A5" w:rsidRDefault="005C70A5">
            <w:pPr>
              <w:pStyle w:val="123"/>
              <w:numPr>
                <w:ilvl w:val="0"/>
                <w:numId w:val="0"/>
              </w:numPr>
              <w:spacing w:after="0"/>
              <w:ind w:left="180"/>
              <w:jc w:val="center"/>
              <w:rPr>
                <w:rFonts w:ascii="Arial" w:hAnsi="Arial"/>
                <w:color w:val="FF00FF"/>
                <w:sz w:val="20"/>
              </w:rPr>
            </w:pPr>
            <w:r>
              <w:rPr>
                <w:rFonts w:ascii="Arial" w:hAnsi="Arial"/>
                <w:color w:val="FF00FF"/>
                <w:sz w:val="20"/>
              </w:rPr>
              <w:t>16%</w:t>
            </w:r>
          </w:p>
        </w:tc>
        <w:tc>
          <w:tcPr>
            <w:tcW w:w="1374" w:type="dxa"/>
            <w:tcBorders>
              <w:bottom w:val="single" w:sz="4" w:space="0" w:color="auto"/>
            </w:tcBorders>
            <w:vAlign w:val="bottom"/>
          </w:tcPr>
          <w:p w:rsidR="005C70A5" w:rsidRDefault="005C70A5">
            <w:pPr>
              <w:pStyle w:val="123"/>
              <w:numPr>
                <w:ilvl w:val="0"/>
                <w:numId w:val="0"/>
              </w:numPr>
              <w:spacing w:after="0"/>
              <w:ind w:left="180"/>
              <w:jc w:val="center"/>
              <w:rPr>
                <w:rFonts w:ascii="Arial" w:hAnsi="Arial"/>
                <w:color w:val="FF00FF"/>
                <w:sz w:val="20"/>
              </w:rPr>
            </w:pPr>
            <w:r>
              <w:rPr>
                <w:rFonts w:ascii="Arial" w:hAnsi="Arial"/>
                <w:color w:val="FF00FF"/>
                <w:sz w:val="20"/>
              </w:rPr>
              <w:t>2%</w:t>
            </w:r>
          </w:p>
        </w:tc>
        <w:tc>
          <w:tcPr>
            <w:tcW w:w="3876" w:type="dxa"/>
            <w:vAlign w:val="bottom"/>
          </w:tcPr>
          <w:p w:rsidR="005C70A5" w:rsidRDefault="005C70A5">
            <w:pPr>
              <w:pStyle w:val="123"/>
              <w:numPr>
                <w:ilvl w:val="0"/>
                <w:numId w:val="0"/>
              </w:numPr>
              <w:spacing w:after="0"/>
              <w:ind w:left="180"/>
              <w:rPr>
                <w:rFonts w:ascii="Arial" w:hAnsi="Arial"/>
                <w:color w:val="FF00FF"/>
                <w:sz w:val="20"/>
                <w:highlight w:val="yellow"/>
              </w:rPr>
            </w:pPr>
            <w:r>
              <w:rPr>
                <w:rFonts w:ascii="Arial" w:hAnsi="Arial"/>
                <w:color w:val="FF00FF"/>
                <w:sz w:val="20"/>
              </w:rPr>
              <w:t xml:space="preserve">       7.5% Russell 2000</w:t>
            </w:r>
          </w:p>
        </w:tc>
      </w:tr>
      <w:tr w:rsidR="005C70A5">
        <w:trPr>
          <w:trHeight w:val="360"/>
        </w:trPr>
        <w:tc>
          <w:tcPr>
            <w:tcW w:w="2808" w:type="dxa"/>
            <w:vAlign w:val="bottom"/>
          </w:tcPr>
          <w:p w:rsidR="005C70A5" w:rsidRDefault="005C70A5">
            <w:pPr>
              <w:pStyle w:val="123"/>
              <w:numPr>
                <w:ilvl w:val="0"/>
                <w:numId w:val="0"/>
              </w:numPr>
              <w:spacing w:after="0"/>
              <w:ind w:left="180"/>
              <w:rPr>
                <w:rFonts w:ascii="Arial" w:hAnsi="Arial"/>
                <w:color w:val="FF00FF"/>
                <w:sz w:val="20"/>
              </w:rPr>
            </w:pPr>
            <w:r>
              <w:rPr>
                <w:rFonts w:ascii="Arial" w:hAnsi="Arial"/>
                <w:color w:val="FF00FF"/>
                <w:sz w:val="20"/>
              </w:rPr>
              <w:t xml:space="preserve">     Foreign Equity</w:t>
            </w:r>
          </w:p>
        </w:tc>
        <w:tc>
          <w:tcPr>
            <w:tcW w:w="1410" w:type="dxa"/>
            <w:tcBorders>
              <w:bottom w:val="single" w:sz="4" w:space="0" w:color="auto"/>
            </w:tcBorders>
            <w:vAlign w:val="bottom"/>
          </w:tcPr>
          <w:p w:rsidR="005C70A5" w:rsidRDefault="005C70A5">
            <w:pPr>
              <w:pStyle w:val="123"/>
              <w:numPr>
                <w:ilvl w:val="0"/>
                <w:numId w:val="0"/>
              </w:numPr>
              <w:spacing w:after="0"/>
              <w:ind w:left="180"/>
              <w:jc w:val="center"/>
              <w:rPr>
                <w:rFonts w:ascii="Arial" w:hAnsi="Arial"/>
                <w:color w:val="FF00FF"/>
                <w:sz w:val="20"/>
              </w:rPr>
            </w:pPr>
            <w:r>
              <w:rPr>
                <w:rFonts w:ascii="Arial" w:hAnsi="Arial"/>
                <w:color w:val="FF00FF"/>
                <w:sz w:val="20"/>
              </w:rPr>
              <w:t>15%</w:t>
            </w:r>
          </w:p>
        </w:tc>
        <w:tc>
          <w:tcPr>
            <w:tcW w:w="1374" w:type="dxa"/>
            <w:tcBorders>
              <w:bottom w:val="single" w:sz="4" w:space="0" w:color="auto"/>
            </w:tcBorders>
            <w:vAlign w:val="bottom"/>
          </w:tcPr>
          <w:p w:rsidR="005C70A5" w:rsidRDefault="005C70A5">
            <w:pPr>
              <w:pStyle w:val="123"/>
              <w:numPr>
                <w:ilvl w:val="0"/>
                <w:numId w:val="0"/>
              </w:numPr>
              <w:spacing w:after="0"/>
              <w:ind w:left="180"/>
              <w:jc w:val="center"/>
              <w:rPr>
                <w:rFonts w:ascii="Arial" w:hAnsi="Arial"/>
                <w:color w:val="FF00FF"/>
                <w:sz w:val="20"/>
              </w:rPr>
            </w:pPr>
            <w:r>
              <w:rPr>
                <w:rFonts w:ascii="Arial" w:hAnsi="Arial"/>
                <w:color w:val="FF00FF"/>
                <w:sz w:val="20"/>
              </w:rPr>
              <w:t>2%</w:t>
            </w:r>
          </w:p>
        </w:tc>
        <w:tc>
          <w:tcPr>
            <w:tcW w:w="3876" w:type="dxa"/>
            <w:vAlign w:val="bottom"/>
          </w:tcPr>
          <w:p w:rsidR="005C70A5" w:rsidRDefault="005C70A5">
            <w:pPr>
              <w:pStyle w:val="123"/>
              <w:numPr>
                <w:ilvl w:val="0"/>
                <w:numId w:val="0"/>
              </w:numPr>
              <w:spacing w:after="0"/>
              <w:ind w:left="180"/>
              <w:rPr>
                <w:rFonts w:ascii="Arial" w:hAnsi="Arial"/>
                <w:color w:val="FF00FF"/>
                <w:sz w:val="20"/>
                <w:highlight w:val="yellow"/>
              </w:rPr>
            </w:pPr>
            <w:r>
              <w:rPr>
                <w:rFonts w:ascii="Arial" w:hAnsi="Arial"/>
                <w:color w:val="FF00FF"/>
                <w:sz w:val="20"/>
              </w:rPr>
              <w:t xml:space="preserve">       7.5% MSCI EAFE</w:t>
            </w:r>
          </w:p>
        </w:tc>
      </w:tr>
      <w:tr w:rsidR="005C70A5">
        <w:trPr>
          <w:trHeight w:val="360"/>
        </w:trPr>
        <w:tc>
          <w:tcPr>
            <w:tcW w:w="2808" w:type="dxa"/>
            <w:tcBorders>
              <w:right w:val="single" w:sz="4" w:space="0" w:color="auto"/>
            </w:tcBorders>
            <w:vAlign w:val="bottom"/>
          </w:tcPr>
          <w:p w:rsidR="005C70A5" w:rsidRDefault="005C70A5">
            <w:pPr>
              <w:pStyle w:val="123"/>
              <w:numPr>
                <w:ilvl w:val="0"/>
                <w:numId w:val="0"/>
              </w:numPr>
              <w:spacing w:after="0"/>
              <w:ind w:left="180"/>
              <w:rPr>
                <w:rFonts w:ascii="Arial" w:hAnsi="Arial"/>
                <w:b/>
                <w:color w:val="FF00FF"/>
                <w:sz w:val="20"/>
              </w:rPr>
            </w:pPr>
            <w:r>
              <w:rPr>
                <w:rFonts w:ascii="Arial" w:hAnsi="Arial"/>
                <w:b/>
                <w:color w:val="FF00FF"/>
                <w:sz w:val="20"/>
              </w:rPr>
              <w:t>FIXED INCOME</w:t>
            </w:r>
          </w:p>
        </w:tc>
        <w:tc>
          <w:tcPr>
            <w:tcW w:w="1410" w:type="dxa"/>
            <w:tcBorders>
              <w:top w:val="single" w:sz="4" w:space="0" w:color="auto"/>
              <w:left w:val="single" w:sz="4" w:space="0" w:color="auto"/>
              <w:bottom w:val="single" w:sz="4" w:space="0" w:color="auto"/>
              <w:right w:val="single" w:sz="4" w:space="0" w:color="auto"/>
            </w:tcBorders>
            <w:vAlign w:val="bottom"/>
          </w:tcPr>
          <w:p w:rsidR="005C70A5" w:rsidRDefault="005C70A5">
            <w:pPr>
              <w:pStyle w:val="123"/>
              <w:numPr>
                <w:ilvl w:val="0"/>
                <w:numId w:val="0"/>
              </w:numPr>
              <w:spacing w:after="0"/>
              <w:ind w:left="180"/>
              <w:jc w:val="center"/>
              <w:rPr>
                <w:rFonts w:ascii="Arial" w:hAnsi="Arial"/>
                <w:b/>
                <w:color w:val="FF00FF"/>
                <w:sz w:val="20"/>
              </w:rPr>
            </w:pPr>
            <w:r>
              <w:rPr>
                <w:rFonts w:ascii="Arial" w:hAnsi="Arial"/>
                <w:b/>
                <w:color w:val="FF00FF"/>
                <w:sz w:val="20"/>
              </w:rPr>
              <w:t>60%</w:t>
            </w:r>
          </w:p>
        </w:tc>
        <w:tc>
          <w:tcPr>
            <w:tcW w:w="1374" w:type="dxa"/>
            <w:tcBorders>
              <w:top w:val="single" w:sz="4" w:space="0" w:color="auto"/>
              <w:left w:val="single" w:sz="4" w:space="0" w:color="auto"/>
              <w:bottom w:val="single" w:sz="4" w:space="0" w:color="auto"/>
              <w:right w:val="single" w:sz="4" w:space="0" w:color="auto"/>
            </w:tcBorders>
            <w:vAlign w:val="bottom"/>
          </w:tcPr>
          <w:p w:rsidR="005C70A5" w:rsidRDefault="005C70A5">
            <w:pPr>
              <w:pStyle w:val="123"/>
              <w:numPr>
                <w:ilvl w:val="0"/>
                <w:numId w:val="0"/>
              </w:numPr>
              <w:spacing w:after="0"/>
              <w:ind w:left="180"/>
              <w:jc w:val="center"/>
              <w:rPr>
                <w:rFonts w:ascii="Arial" w:hAnsi="Arial"/>
                <w:b/>
                <w:color w:val="FF00FF"/>
                <w:sz w:val="20"/>
              </w:rPr>
            </w:pPr>
            <w:r>
              <w:rPr>
                <w:rFonts w:ascii="Arial" w:hAnsi="Arial"/>
                <w:b/>
                <w:color w:val="FF00FF"/>
                <w:sz w:val="20"/>
              </w:rPr>
              <w:t>40%</w:t>
            </w:r>
          </w:p>
        </w:tc>
        <w:tc>
          <w:tcPr>
            <w:tcW w:w="3876" w:type="dxa"/>
            <w:tcBorders>
              <w:left w:val="single" w:sz="4" w:space="0" w:color="auto"/>
            </w:tcBorders>
            <w:vAlign w:val="bottom"/>
          </w:tcPr>
          <w:p w:rsidR="005C70A5" w:rsidRDefault="005C70A5">
            <w:pPr>
              <w:pStyle w:val="123"/>
              <w:numPr>
                <w:ilvl w:val="0"/>
                <w:numId w:val="0"/>
              </w:numPr>
              <w:tabs>
                <w:tab w:val="left" w:pos="792"/>
              </w:tabs>
              <w:spacing w:after="0"/>
              <w:ind w:left="180"/>
              <w:rPr>
                <w:rFonts w:ascii="Arial" w:hAnsi="Arial"/>
                <w:b/>
                <w:color w:val="FF00FF"/>
                <w:sz w:val="20"/>
                <w:highlight w:val="yellow"/>
              </w:rPr>
            </w:pPr>
            <w:r>
              <w:rPr>
                <w:rFonts w:ascii="Arial" w:hAnsi="Arial"/>
                <w:b/>
                <w:color w:val="FF00FF"/>
                <w:sz w:val="20"/>
              </w:rPr>
              <w:t>50%</w:t>
            </w:r>
          </w:p>
        </w:tc>
      </w:tr>
      <w:tr w:rsidR="005C70A5">
        <w:trPr>
          <w:trHeight w:val="360"/>
        </w:trPr>
        <w:tc>
          <w:tcPr>
            <w:tcW w:w="2808" w:type="dxa"/>
            <w:vAlign w:val="bottom"/>
          </w:tcPr>
          <w:p w:rsidR="005C70A5" w:rsidRDefault="005C70A5">
            <w:pPr>
              <w:pStyle w:val="123"/>
              <w:numPr>
                <w:ilvl w:val="0"/>
                <w:numId w:val="0"/>
              </w:numPr>
              <w:spacing w:after="0"/>
              <w:ind w:left="180"/>
              <w:rPr>
                <w:rFonts w:ascii="Arial" w:hAnsi="Arial"/>
                <w:color w:val="FF00FF"/>
                <w:sz w:val="20"/>
              </w:rPr>
            </w:pPr>
            <w:r>
              <w:rPr>
                <w:rFonts w:ascii="Arial" w:hAnsi="Arial"/>
                <w:color w:val="FF00FF"/>
                <w:sz w:val="20"/>
              </w:rPr>
              <w:t xml:space="preserve">     Fixed Income</w:t>
            </w:r>
          </w:p>
        </w:tc>
        <w:tc>
          <w:tcPr>
            <w:tcW w:w="1410" w:type="dxa"/>
            <w:tcBorders>
              <w:top w:val="single" w:sz="4" w:space="0" w:color="auto"/>
              <w:bottom w:val="single" w:sz="4" w:space="0" w:color="auto"/>
            </w:tcBorders>
            <w:vAlign w:val="bottom"/>
          </w:tcPr>
          <w:p w:rsidR="005C70A5" w:rsidRDefault="005C70A5">
            <w:pPr>
              <w:pStyle w:val="123"/>
              <w:numPr>
                <w:ilvl w:val="0"/>
                <w:numId w:val="0"/>
              </w:numPr>
              <w:spacing w:after="0"/>
              <w:ind w:left="180"/>
              <w:jc w:val="center"/>
              <w:rPr>
                <w:rFonts w:ascii="Arial" w:hAnsi="Arial"/>
                <w:color w:val="FF00FF"/>
                <w:sz w:val="20"/>
              </w:rPr>
            </w:pPr>
            <w:r>
              <w:rPr>
                <w:rFonts w:ascii="Arial" w:hAnsi="Arial"/>
                <w:color w:val="FF00FF"/>
                <w:sz w:val="20"/>
              </w:rPr>
              <w:t>60%</w:t>
            </w:r>
          </w:p>
        </w:tc>
        <w:tc>
          <w:tcPr>
            <w:tcW w:w="1374" w:type="dxa"/>
            <w:tcBorders>
              <w:top w:val="single" w:sz="4" w:space="0" w:color="auto"/>
              <w:bottom w:val="single" w:sz="4" w:space="0" w:color="auto"/>
            </w:tcBorders>
            <w:vAlign w:val="bottom"/>
          </w:tcPr>
          <w:p w:rsidR="005C70A5" w:rsidRDefault="005C70A5">
            <w:pPr>
              <w:pStyle w:val="123"/>
              <w:numPr>
                <w:ilvl w:val="0"/>
                <w:numId w:val="0"/>
              </w:numPr>
              <w:spacing w:after="0"/>
              <w:ind w:left="180"/>
              <w:jc w:val="center"/>
              <w:rPr>
                <w:rFonts w:ascii="Arial" w:hAnsi="Arial"/>
                <w:color w:val="FF00FF"/>
                <w:sz w:val="20"/>
              </w:rPr>
            </w:pPr>
            <w:r>
              <w:rPr>
                <w:rFonts w:ascii="Arial" w:hAnsi="Arial"/>
                <w:color w:val="FF00FF"/>
                <w:sz w:val="20"/>
              </w:rPr>
              <w:t>40%</w:t>
            </w:r>
          </w:p>
        </w:tc>
        <w:tc>
          <w:tcPr>
            <w:tcW w:w="3876" w:type="dxa"/>
            <w:vAlign w:val="bottom"/>
          </w:tcPr>
          <w:p w:rsidR="005C70A5" w:rsidRDefault="005C70A5">
            <w:pPr>
              <w:pStyle w:val="123"/>
              <w:numPr>
                <w:ilvl w:val="0"/>
                <w:numId w:val="0"/>
              </w:numPr>
              <w:spacing w:after="0"/>
              <w:ind w:left="180"/>
              <w:rPr>
                <w:rFonts w:ascii="Arial" w:hAnsi="Arial"/>
                <w:color w:val="FF00FF"/>
                <w:sz w:val="20"/>
                <w:highlight w:val="yellow"/>
              </w:rPr>
            </w:pPr>
            <w:r>
              <w:rPr>
                <w:rFonts w:ascii="Arial" w:hAnsi="Arial"/>
                <w:color w:val="FF00FF"/>
                <w:sz w:val="20"/>
              </w:rPr>
              <w:t xml:space="preserve">     50.0% Lehman Aggregate Bond</w:t>
            </w:r>
          </w:p>
        </w:tc>
      </w:tr>
      <w:tr w:rsidR="005C70A5">
        <w:trPr>
          <w:trHeight w:val="360"/>
        </w:trPr>
        <w:tc>
          <w:tcPr>
            <w:tcW w:w="2808" w:type="dxa"/>
            <w:tcBorders>
              <w:right w:val="single" w:sz="4" w:space="0" w:color="auto"/>
            </w:tcBorders>
            <w:vAlign w:val="bottom"/>
          </w:tcPr>
          <w:p w:rsidR="005C70A5" w:rsidRDefault="005C70A5">
            <w:pPr>
              <w:pStyle w:val="123"/>
              <w:numPr>
                <w:ilvl w:val="0"/>
                <w:numId w:val="0"/>
              </w:numPr>
              <w:spacing w:after="0"/>
              <w:ind w:left="180"/>
              <w:rPr>
                <w:rFonts w:ascii="Arial" w:hAnsi="Arial"/>
                <w:b/>
                <w:color w:val="FF00FF"/>
                <w:sz w:val="20"/>
              </w:rPr>
            </w:pPr>
            <w:r>
              <w:rPr>
                <w:rFonts w:ascii="Arial" w:hAnsi="Arial"/>
                <w:b/>
                <w:color w:val="FF00FF"/>
                <w:sz w:val="20"/>
              </w:rPr>
              <w:t>CASH</w:t>
            </w:r>
          </w:p>
        </w:tc>
        <w:tc>
          <w:tcPr>
            <w:tcW w:w="1410" w:type="dxa"/>
            <w:tcBorders>
              <w:top w:val="single" w:sz="4" w:space="0" w:color="auto"/>
              <w:left w:val="single" w:sz="4" w:space="0" w:color="auto"/>
              <w:bottom w:val="single" w:sz="4" w:space="0" w:color="auto"/>
              <w:right w:val="single" w:sz="4" w:space="0" w:color="auto"/>
            </w:tcBorders>
            <w:vAlign w:val="bottom"/>
          </w:tcPr>
          <w:p w:rsidR="005C70A5" w:rsidRDefault="005C70A5">
            <w:pPr>
              <w:pStyle w:val="123"/>
              <w:numPr>
                <w:ilvl w:val="0"/>
                <w:numId w:val="0"/>
              </w:numPr>
              <w:spacing w:after="0"/>
              <w:ind w:left="180"/>
              <w:jc w:val="center"/>
              <w:rPr>
                <w:rFonts w:ascii="Arial" w:hAnsi="Arial"/>
                <w:b/>
                <w:color w:val="FF00FF"/>
                <w:sz w:val="20"/>
              </w:rPr>
            </w:pPr>
            <w:r>
              <w:rPr>
                <w:rFonts w:ascii="Arial" w:hAnsi="Arial"/>
                <w:b/>
                <w:color w:val="FF00FF"/>
                <w:sz w:val="20"/>
              </w:rPr>
              <w:t>3%</w:t>
            </w:r>
          </w:p>
        </w:tc>
        <w:tc>
          <w:tcPr>
            <w:tcW w:w="1374" w:type="dxa"/>
            <w:tcBorders>
              <w:top w:val="single" w:sz="4" w:space="0" w:color="auto"/>
              <w:left w:val="single" w:sz="4" w:space="0" w:color="auto"/>
              <w:bottom w:val="single" w:sz="4" w:space="0" w:color="auto"/>
              <w:right w:val="single" w:sz="4" w:space="0" w:color="auto"/>
            </w:tcBorders>
            <w:vAlign w:val="bottom"/>
          </w:tcPr>
          <w:p w:rsidR="005C70A5" w:rsidRDefault="005C70A5">
            <w:pPr>
              <w:pStyle w:val="123"/>
              <w:numPr>
                <w:ilvl w:val="0"/>
                <w:numId w:val="0"/>
              </w:numPr>
              <w:spacing w:after="0"/>
              <w:ind w:left="180"/>
              <w:jc w:val="center"/>
              <w:rPr>
                <w:rFonts w:ascii="Arial" w:hAnsi="Arial"/>
                <w:b/>
                <w:color w:val="FF00FF"/>
                <w:sz w:val="20"/>
              </w:rPr>
            </w:pPr>
            <w:r>
              <w:rPr>
                <w:rFonts w:ascii="Arial" w:hAnsi="Arial"/>
                <w:b/>
                <w:color w:val="FF00FF"/>
                <w:sz w:val="20"/>
              </w:rPr>
              <w:t>0%</w:t>
            </w:r>
          </w:p>
        </w:tc>
        <w:tc>
          <w:tcPr>
            <w:tcW w:w="3876" w:type="dxa"/>
            <w:tcBorders>
              <w:left w:val="single" w:sz="4" w:space="0" w:color="auto"/>
            </w:tcBorders>
            <w:vAlign w:val="bottom"/>
          </w:tcPr>
          <w:p w:rsidR="005C70A5" w:rsidRDefault="005C70A5">
            <w:pPr>
              <w:pStyle w:val="123"/>
              <w:numPr>
                <w:ilvl w:val="0"/>
                <w:numId w:val="0"/>
              </w:numPr>
              <w:tabs>
                <w:tab w:val="left" w:pos="792"/>
              </w:tabs>
              <w:spacing w:after="0"/>
              <w:ind w:left="180"/>
              <w:rPr>
                <w:rFonts w:ascii="Arial" w:hAnsi="Arial"/>
                <w:b/>
                <w:color w:val="FF00FF"/>
                <w:sz w:val="20"/>
              </w:rPr>
            </w:pPr>
            <w:r>
              <w:rPr>
                <w:rFonts w:ascii="Arial" w:hAnsi="Arial"/>
                <w:b/>
                <w:color w:val="FF00FF"/>
                <w:sz w:val="20"/>
              </w:rPr>
              <w:t>0%</w:t>
            </w:r>
          </w:p>
        </w:tc>
      </w:tr>
      <w:tr w:rsidR="005C70A5">
        <w:trPr>
          <w:trHeight w:val="360"/>
        </w:trPr>
        <w:tc>
          <w:tcPr>
            <w:tcW w:w="2808" w:type="dxa"/>
            <w:vAlign w:val="bottom"/>
          </w:tcPr>
          <w:p w:rsidR="005C70A5" w:rsidRDefault="005C70A5">
            <w:pPr>
              <w:pStyle w:val="123"/>
              <w:numPr>
                <w:ilvl w:val="0"/>
                <w:numId w:val="0"/>
              </w:numPr>
              <w:spacing w:after="0"/>
              <w:ind w:left="180"/>
              <w:rPr>
                <w:rFonts w:ascii="Arial" w:hAnsi="Arial"/>
                <w:color w:val="FF00FF"/>
                <w:sz w:val="20"/>
              </w:rPr>
            </w:pPr>
            <w:r>
              <w:rPr>
                <w:rFonts w:ascii="Arial" w:hAnsi="Arial"/>
                <w:color w:val="FF00FF"/>
                <w:sz w:val="20"/>
              </w:rPr>
              <w:t xml:space="preserve">     Cash</w:t>
            </w:r>
          </w:p>
        </w:tc>
        <w:tc>
          <w:tcPr>
            <w:tcW w:w="1410" w:type="dxa"/>
            <w:tcBorders>
              <w:top w:val="single" w:sz="4" w:space="0" w:color="auto"/>
            </w:tcBorders>
            <w:vAlign w:val="bottom"/>
          </w:tcPr>
          <w:p w:rsidR="005C70A5" w:rsidRDefault="005C70A5">
            <w:pPr>
              <w:pStyle w:val="123"/>
              <w:numPr>
                <w:ilvl w:val="0"/>
                <w:numId w:val="0"/>
              </w:numPr>
              <w:spacing w:after="0"/>
              <w:ind w:left="180"/>
              <w:jc w:val="center"/>
              <w:rPr>
                <w:rFonts w:ascii="Arial" w:hAnsi="Arial"/>
                <w:color w:val="FF00FF"/>
                <w:sz w:val="20"/>
              </w:rPr>
            </w:pPr>
            <w:r>
              <w:rPr>
                <w:rFonts w:ascii="Arial" w:hAnsi="Arial"/>
                <w:color w:val="FF00FF"/>
                <w:sz w:val="20"/>
              </w:rPr>
              <w:t>3%</w:t>
            </w:r>
          </w:p>
        </w:tc>
        <w:tc>
          <w:tcPr>
            <w:tcW w:w="1374" w:type="dxa"/>
            <w:tcBorders>
              <w:top w:val="single" w:sz="4" w:space="0" w:color="auto"/>
            </w:tcBorders>
            <w:vAlign w:val="bottom"/>
          </w:tcPr>
          <w:p w:rsidR="005C70A5" w:rsidRDefault="005C70A5">
            <w:pPr>
              <w:pStyle w:val="123"/>
              <w:numPr>
                <w:ilvl w:val="0"/>
                <w:numId w:val="0"/>
              </w:numPr>
              <w:spacing w:after="0"/>
              <w:ind w:left="180"/>
              <w:jc w:val="center"/>
              <w:rPr>
                <w:rFonts w:ascii="Arial" w:hAnsi="Arial"/>
                <w:color w:val="FF00FF"/>
                <w:sz w:val="20"/>
              </w:rPr>
            </w:pPr>
            <w:r>
              <w:rPr>
                <w:rFonts w:ascii="Arial" w:hAnsi="Arial"/>
                <w:color w:val="FF00FF"/>
                <w:sz w:val="20"/>
              </w:rPr>
              <w:t>0%</w:t>
            </w:r>
          </w:p>
        </w:tc>
        <w:tc>
          <w:tcPr>
            <w:tcW w:w="3876" w:type="dxa"/>
            <w:vAlign w:val="bottom"/>
          </w:tcPr>
          <w:p w:rsidR="005C70A5" w:rsidRDefault="005C70A5">
            <w:pPr>
              <w:pStyle w:val="123"/>
              <w:numPr>
                <w:ilvl w:val="0"/>
                <w:numId w:val="0"/>
              </w:numPr>
              <w:tabs>
                <w:tab w:val="left" w:pos="792"/>
              </w:tabs>
              <w:spacing w:after="0"/>
              <w:ind w:left="180"/>
              <w:rPr>
                <w:rFonts w:ascii="Arial" w:hAnsi="Arial"/>
                <w:color w:val="FF00FF"/>
                <w:sz w:val="20"/>
                <w:highlight w:val="yellow"/>
              </w:rPr>
            </w:pPr>
            <w:r>
              <w:rPr>
                <w:rFonts w:ascii="Arial" w:hAnsi="Arial"/>
                <w:color w:val="FF00FF"/>
                <w:sz w:val="20"/>
              </w:rPr>
              <w:t xml:space="preserve">       0.0% 91-Day US Treasury Bill</w:t>
            </w:r>
          </w:p>
        </w:tc>
      </w:tr>
    </w:tbl>
    <w:p w:rsidR="005C70A5" w:rsidRDefault="005C70A5" w:rsidP="005C70A5">
      <w:pPr>
        <w:pStyle w:val="Heading3"/>
        <w:spacing w:before="0" w:after="0" w:line="240" w:lineRule="auto"/>
        <w:ind w:left="180"/>
        <w:jc w:val="both"/>
        <w:rPr>
          <w:rFonts w:ascii="Arial" w:hAnsi="Arial"/>
          <w:sz w:val="20"/>
        </w:rPr>
      </w:pPr>
    </w:p>
    <w:p w:rsidR="005C70A5" w:rsidRDefault="005C70A5" w:rsidP="005C70A5">
      <w:pPr>
        <w:pStyle w:val="Heading3"/>
        <w:spacing w:before="0" w:after="0" w:line="240" w:lineRule="auto"/>
        <w:ind w:left="180"/>
        <w:jc w:val="both"/>
        <w:rPr>
          <w:rFonts w:ascii="Arial" w:hAnsi="Arial"/>
          <w:sz w:val="20"/>
        </w:rPr>
      </w:pPr>
      <w:r>
        <w:rPr>
          <w:rFonts w:ascii="Arial" w:hAnsi="Arial"/>
          <w:sz w:val="20"/>
        </w:rPr>
        <w:t>Asset Classes</w:t>
      </w:r>
    </w:p>
    <w:p w:rsidR="005C70A5" w:rsidRDefault="005C70A5" w:rsidP="005C70A5">
      <w:pPr>
        <w:pStyle w:val="Heading2"/>
        <w:spacing w:before="0" w:after="0" w:line="240" w:lineRule="auto"/>
        <w:ind w:left="180"/>
        <w:jc w:val="left"/>
        <w:rPr>
          <w:rFonts w:ascii="Arial" w:hAnsi="Arial"/>
          <w:sz w:val="20"/>
        </w:rPr>
      </w:pPr>
      <w:r>
        <w:rPr>
          <w:rFonts w:ascii="Arial" w:hAnsi="Arial"/>
          <w:sz w:val="20"/>
        </w:rPr>
        <w:t>Short-Term Investments</w:t>
      </w:r>
    </w:p>
    <w:p w:rsidR="005C70A5" w:rsidRDefault="005C70A5" w:rsidP="005C70A5">
      <w:pPr>
        <w:spacing w:after="0"/>
        <w:ind w:left="180"/>
        <w:rPr>
          <w:rFonts w:ascii="Arial" w:hAnsi="Arial"/>
          <w:sz w:val="20"/>
        </w:rPr>
      </w:pPr>
      <w:r>
        <w:rPr>
          <w:rFonts w:ascii="Arial" w:hAnsi="Arial"/>
          <w:sz w:val="20"/>
        </w:rPr>
        <w:t>Short-term investments are primarily intended to provide conservative, highly marketable securities for the liquidity needs of the Plan, such as disbursements, and future long-term investment. Short-term investments include high quality debt securities that offer low risk, such as money market funds, U.S. government and agency obligations, commercial paper, certificates of deposit and repurchase agreements.  The investment objective of the short-term investment segment is to seek to produce a return, net of fees, that exceeds, over rolling three and five-year periods, the Salomon Brothers 91-Day U.S. Treasury Bill Index.</w:t>
      </w:r>
    </w:p>
    <w:p w:rsidR="005C70A5" w:rsidRDefault="005C70A5" w:rsidP="005C70A5">
      <w:pPr>
        <w:spacing w:after="0"/>
        <w:ind w:left="180"/>
        <w:rPr>
          <w:rFonts w:ascii="Arial" w:hAnsi="Arial"/>
          <w:sz w:val="20"/>
          <w:u w:val="single"/>
        </w:rPr>
      </w:pPr>
    </w:p>
    <w:p w:rsidR="005C70A5" w:rsidRDefault="005C70A5" w:rsidP="005C70A5">
      <w:pPr>
        <w:spacing w:after="0"/>
        <w:ind w:left="180"/>
        <w:rPr>
          <w:rFonts w:ascii="Arial" w:hAnsi="Arial"/>
          <w:sz w:val="20"/>
          <w:u w:val="single"/>
        </w:rPr>
      </w:pPr>
      <w:r>
        <w:rPr>
          <w:rFonts w:ascii="Arial" w:hAnsi="Arial"/>
          <w:sz w:val="20"/>
          <w:u w:val="single"/>
        </w:rPr>
        <w:t>Fixed-Income Investments</w:t>
      </w:r>
    </w:p>
    <w:p w:rsidR="005C70A5" w:rsidRDefault="005C70A5" w:rsidP="005C70A5">
      <w:pPr>
        <w:spacing w:after="0"/>
        <w:ind w:left="180"/>
        <w:rPr>
          <w:rFonts w:ascii="Arial" w:hAnsi="Arial"/>
          <w:sz w:val="20"/>
        </w:rPr>
      </w:pPr>
      <w:r>
        <w:rPr>
          <w:rFonts w:ascii="Arial" w:hAnsi="Arial"/>
          <w:sz w:val="20"/>
        </w:rPr>
        <w:t>Fixed-income investments are intended to provide a hedge against deflation, a stable component of return and to minimize the overall volatility of the Portfolio. Assets in this segment are comprised primarily of bonds (e.g., corporate, government, asset-backed, mortgage-backed) but may also include commercial paper and U.S. government/agency issues. The investment objective of the fixed-income segment is to seek to produce a return, net of fees, that exceeds, over rolling three and five-year periods, the Lehman Brothers Aggregate Bond Index and the median of an appropriate peer universe of managed funds.</w:t>
      </w:r>
    </w:p>
    <w:p w:rsidR="005C70A5" w:rsidRDefault="005C70A5" w:rsidP="005C70A5">
      <w:pPr>
        <w:spacing w:after="0"/>
        <w:ind w:left="180"/>
        <w:rPr>
          <w:rFonts w:ascii="Arial" w:hAnsi="Arial"/>
          <w:sz w:val="20"/>
          <w:u w:val="single"/>
        </w:rPr>
      </w:pPr>
    </w:p>
    <w:p w:rsidR="005C70A5" w:rsidRDefault="005C70A5" w:rsidP="005C70A5">
      <w:pPr>
        <w:spacing w:after="0"/>
        <w:ind w:left="180"/>
        <w:rPr>
          <w:rFonts w:ascii="Arial" w:hAnsi="Arial"/>
          <w:sz w:val="20"/>
          <w:u w:val="single"/>
        </w:rPr>
      </w:pPr>
      <w:r>
        <w:rPr>
          <w:rFonts w:ascii="Arial" w:hAnsi="Arial"/>
          <w:sz w:val="20"/>
          <w:u w:val="single"/>
        </w:rPr>
        <w:t>Equity Investments</w:t>
      </w:r>
    </w:p>
    <w:p w:rsidR="005C70A5" w:rsidRDefault="005C70A5" w:rsidP="005C70A5">
      <w:pPr>
        <w:spacing w:after="0"/>
        <w:ind w:left="180"/>
        <w:rPr>
          <w:rFonts w:ascii="Arial" w:hAnsi="Arial"/>
          <w:sz w:val="20"/>
        </w:rPr>
      </w:pPr>
      <w:r>
        <w:rPr>
          <w:rFonts w:ascii="Arial" w:hAnsi="Arial"/>
          <w:sz w:val="20"/>
        </w:rPr>
        <w:t>Equity investments are intended to provide long-term capital growth that exceeds inflation. It is recognized that equity investments carry greater market price variability and risk than other asset classes. To assure prudent diversification and to avoid excessive risk, the equity investments of the Portfolio will adhere to the asset allocation parameters set forth above. The investment objective of each equity segment is noted below:</w:t>
      </w:r>
    </w:p>
    <w:p w:rsidR="005C70A5" w:rsidRDefault="005C70A5" w:rsidP="005C70A5">
      <w:pPr>
        <w:spacing w:after="0"/>
        <w:ind w:left="180"/>
        <w:rPr>
          <w:rFonts w:ascii="Arial" w:hAnsi="Arial"/>
          <w:b/>
          <w:sz w:val="20"/>
        </w:rPr>
      </w:pPr>
    </w:p>
    <w:p w:rsidR="005C70A5" w:rsidRDefault="005C70A5" w:rsidP="005C70A5">
      <w:pPr>
        <w:pStyle w:val="Heading5"/>
        <w:ind w:left="720"/>
        <w:rPr>
          <w:b w:val="0"/>
          <w:u w:val="single"/>
        </w:rPr>
      </w:pPr>
      <w:r>
        <w:rPr>
          <w:b w:val="0"/>
          <w:u w:val="single"/>
        </w:rPr>
        <w:t>Domestic Large Cap Value</w:t>
      </w:r>
    </w:p>
    <w:p w:rsidR="005C70A5" w:rsidRDefault="005C70A5" w:rsidP="005C70A5">
      <w:pPr>
        <w:pStyle w:val="BodyTextIndent"/>
        <w:spacing w:after="0" w:line="240" w:lineRule="auto"/>
        <w:ind w:left="720"/>
        <w:rPr>
          <w:rFonts w:ascii="Arial" w:hAnsi="Arial"/>
        </w:rPr>
      </w:pPr>
      <w:r>
        <w:rPr>
          <w:rFonts w:ascii="Arial" w:hAnsi="Arial"/>
        </w:rPr>
        <w:t>This asset class invests primarily in companies with market capitalizations in excess of $5 billion. Securities in this asset class will normally have a below-average price-to-earnings ratio, price-to-book ratio and earnings growth ratio when compared to a diversified large cap index. The investment objective is to seek to produce a return, net of fees, that exceeds, over rolling three and five-year periods, the Russell 1000 Value Index and the median of an appropriate peer universe of managed funds.</w:t>
      </w:r>
    </w:p>
    <w:p w:rsidR="005C70A5" w:rsidRDefault="005C70A5" w:rsidP="005C70A5">
      <w:pPr>
        <w:spacing w:after="0"/>
        <w:ind w:left="720"/>
        <w:rPr>
          <w:rFonts w:ascii="Arial" w:hAnsi="Arial"/>
          <w:sz w:val="20"/>
        </w:rPr>
      </w:pPr>
    </w:p>
    <w:p w:rsidR="005C70A5" w:rsidRDefault="005C70A5" w:rsidP="005C70A5">
      <w:pPr>
        <w:pStyle w:val="Heading5"/>
        <w:ind w:left="720"/>
        <w:rPr>
          <w:b w:val="0"/>
          <w:u w:val="single"/>
        </w:rPr>
      </w:pPr>
      <w:r>
        <w:rPr>
          <w:b w:val="0"/>
          <w:u w:val="single"/>
        </w:rPr>
        <w:t>Domestic Large Cap Growth</w:t>
      </w:r>
    </w:p>
    <w:p w:rsidR="005C70A5" w:rsidRDefault="005C70A5" w:rsidP="005C70A5">
      <w:pPr>
        <w:pStyle w:val="BodyTextIndent"/>
        <w:spacing w:after="0" w:line="240" w:lineRule="auto"/>
        <w:ind w:left="720"/>
        <w:rPr>
          <w:rFonts w:ascii="Arial" w:hAnsi="Arial"/>
        </w:rPr>
      </w:pPr>
      <w:r>
        <w:rPr>
          <w:rFonts w:ascii="Arial" w:hAnsi="Arial"/>
        </w:rPr>
        <w:t>This asset class invests primarily in companies with market capitalizations in excess of $5 billion. Securities in this asset class will normally have above-average price-to-earnings ratio, price-to-book ratio and earnings growth ratio when compared to a diversified large cap index. The investment objective is to seek to produce a return, net of fees, that exceeds, over rolling three and five-year periods, the Russell 1000 Growth Index and the median of an appropriate peer universe of managed funds.</w:t>
      </w:r>
    </w:p>
    <w:p w:rsidR="005C70A5" w:rsidRDefault="005C70A5" w:rsidP="005C70A5">
      <w:pPr>
        <w:spacing w:after="0"/>
        <w:ind w:left="720"/>
        <w:rPr>
          <w:rFonts w:ascii="Arial" w:hAnsi="Arial"/>
          <w:sz w:val="20"/>
        </w:rPr>
      </w:pPr>
    </w:p>
    <w:p w:rsidR="005C70A5" w:rsidRDefault="005C70A5" w:rsidP="005C70A5">
      <w:pPr>
        <w:pStyle w:val="Heading5"/>
        <w:ind w:left="720"/>
        <w:rPr>
          <w:b w:val="0"/>
          <w:u w:val="single"/>
        </w:rPr>
      </w:pPr>
      <w:r>
        <w:rPr>
          <w:b w:val="0"/>
          <w:u w:val="single"/>
        </w:rPr>
        <w:t>Domestic Small Cap</w:t>
      </w:r>
    </w:p>
    <w:p w:rsidR="005C70A5" w:rsidRDefault="005C70A5" w:rsidP="005C70A5">
      <w:pPr>
        <w:pStyle w:val="BodyTextIndent"/>
        <w:spacing w:after="0" w:line="240" w:lineRule="auto"/>
        <w:ind w:left="720"/>
        <w:rPr>
          <w:rFonts w:ascii="Arial" w:hAnsi="Arial"/>
        </w:rPr>
      </w:pPr>
      <w:r>
        <w:rPr>
          <w:rFonts w:ascii="Arial" w:hAnsi="Arial"/>
        </w:rPr>
        <w:t>This asset class invests primarily in companies with market capitalizations of $1.5 billion or less. Securities in this asset class will normally have an average price-to-earnings ratio, price-to-book ratio and earnings growth ratio when compared to a diversified small cap index. The investment objective of the small cap blend equity segment is to seek to produce a return, net of fees, that exceeds, over rolling three and five-year periods, the Russell 2000 Index and the median of an appropriate peer universe of managed funds.</w:t>
      </w:r>
    </w:p>
    <w:p w:rsidR="005C70A5" w:rsidRDefault="005C70A5" w:rsidP="005C70A5">
      <w:pPr>
        <w:spacing w:after="0"/>
        <w:ind w:left="720"/>
        <w:rPr>
          <w:rFonts w:ascii="Arial" w:hAnsi="Arial"/>
          <w:sz w:val="20"/>
        </w:rPr>
      </w:pPr>
    </w:p>
    <w:p w:rsidR="005C70A5" w:rsidRDefault="005C70A5" w:rsidP="005C70A5">
      <w:pPr>
        <w:pStyle w:val="Heading5"/>
        <w:ind w:left="720"/>
        <w:rPr>
          <w:b w:val="0"/>
          <w:u w:val="single"/>
        </w:rPr>
      </w:pPr>
      <w:r>
        <w:rPr>
          <w:b w:val="0"/>
          <w:u w:val="single"/>
        </w:rPr>
        <w:t xml:space="preserve">International </w:t>
      </w:r>
    </w:p>
    <w:p w:rsidR="005C70A5" w:rsidRDefault="005C70A5" w:rsidP="005C70A5">
      <w:pPr>
        <w:pStyle w:val="BodyTextIndent"/>
        <w:spacing w:after="0" w:line="240" w:lineRule="auto"/>
        <w:ind w:left="720"/>
        <w:rPr>
          <w:rFonts w:ascii="Arial" w:hAnsi="Arial"/>
        </w:rPr>
      </w:pPr>
      <w:r>
        <w:rPr>
          <w:rFonts w:ascii="Arial" w:hAnsi="Arial"/>
        </w:rPr>
        <w:t>This asset class invests primarily in companies based outside the U.S. and will normally diversify assets among numerous developed markets, such as Australia, Japan, Great Britain, Italy, France and Germany. Limited emerging market exposure is acceptable. The investment objective of the international equity segment is to seek to produce a return, net of fees, that exceeds, over rolling three and five-year periods, the Morgan Stanley Capital International Europe, Australasia, and Far East (EAFE) Index and the median of an appropriate peer universe of managed funds.</w:t>
      </w:r>
    </w:p>
    <w:p w:rsidR="005C70A5" w:rsidRDefault="005C70A5" w:rsidP="005C70A5">
      <w:pPr>
        <w:pStyle w:val="123"/>
        <w:numPr>
          <w:ilvl w:val="0"/>
          <w:numId w:val="0"/>
        </w:numPr>
        <w:spacing w:after="0"/>
        <w:ind w:left="180"/>
        <w:rPr>
          <w:rFonts w:ascii="Arial" w:hAnsi="Arial"/>
          <w:b/>
          <w:sz w:val="20"/>
          <w:u w:val="single"/>
        </w:rPr>
      </w:pPr>
    </w:p>
    <w:p w:rsidR="005C70A5" w:rsidRDefault="005C70A5" w:rsidP="005C70A5">
      <w:pPr>
        <w:pStyle w:val="123"/>
        <w:numPr>
          <w:ilvl w:val="0"/>
          <w:numId w:val="0"/>
        </w:numPr>
        <w:spacing w:after="0"/>
        <w:ind w:left="180"/>
        <w:rPr>
          <w:rFonts w:ascii="Arial" w:hAnsi="Arial"/>
          <w:sz w:val="20"/>
        </w:rPr>
      </w:pPr>
      <w:r>
        <w:rPr>
          <w:rFonts w:ascii="Arial" w:hAnsi="Arial"/>
          <w:b/>
          <w:sz w:val="20"/>
          <w:u w:val="single"/>
        </w:rPr>
        <w:t>Current Income</w:t>
      </w:r>
    </w:p>
    <w:p w:rsidR="005C70A5" w:rsidRDefault="005C70A5" w:rsidP="005C70A5">
      <w:pPr>
        <w:pStyle w:val="123"/>
        <w:numPr>
          <w:ilvl w:val="0"/>
          <w:numId w:val="0"/>
        </w:numPr>
        <w:spacing w:after="0"/>
        <w:ind w:left="180"/>
        <w:rPr>
          <w:rFonts w:ascii="Arial" w:hAnsi="Arial"/>
          <w:sz w:val="20"/>
        </w:rPr>
      </w:pPr>
      <w:r>
        <w:rPr>
          <w:rFonts w:ascii="Arial" w:hAnsi="Arial"/>
          <w:sz w:val="20"/>
        </w:rPr>
        <w:t xml:space="preserve">The </w:t>
      </w:r>
      <w:r>
        <w:rPr>
          <w:rFonts w:ascii="Arial" w:hAnsi="Arial"/>
          <w:sz w:val="20"/>
        </w:rPr>
        <w:t xml:space="preserve">Committee </w:t>
      </w:r>
      <w:r>
        <w:rPr>
          <w:rFonts w:ascii="Arial" w:hAnsi="Arial"/>
          <w:sz w:val="20"/>
        </w:rPr>
        <w:t>will advise the Manager when liquidity for expenses is necessary. The Manager must provide sufficient liquidity to meet expenses.</w:t>
      </w:r>
      <w:r>
        <w:rPr>
          <w:rFonts w:ascii="Arial" w:hAnsi="Arial"/>
          <w:sz w:val="20"/>
        </w:rPr>
        <w:t xml:space="preserve">  Expenses are estimated to range from 4-6% of the asset value per year.</w:t>
      </w:r>
    </w:p>
    <w:p w:rsidR="005C70A5" w:rsidRDefault="005C70A5" w:rsidP="005C70A5">
      <w:pPr>
        <w:pStyle w:val="123"/>
        <w:numPr>
          <w:ilvl w:val="0"/>
          <w:numId w:val="0"/>
        </w:numPr>
        <w:spacing w:after="0"/>
        <w:ind w:left="180"/>
        <w:rPr>
          <w:rFonts w:ascii="Arial" w:hAnsi="Arial"/>
          <w:b/>
          <w:sz w:val="20"/>
          <w:u w:val="single"/>
        </w:rPr>
      </w:pPr>
    </w:p>
    <w:p w:rsidR="005C70A5" w:rsidRDefault="005C70A5" w:rsidP="005C70A5">
      <w:pPr>
        <w:pStyle w:val="123"/>
        <w:numPr>
          <w:ilvl w:val="0"/>
          <w:numId w:val="0"/>
        </w:numPr>
        <w:spacing w:after="0"/>
        <w:ind w:left="180"/>
        <w:rPr>
          <w:rFonts w:ascii="Arial" w:hAnsi="Arial"/>
          <w:b/>
          <w:sz w:val="20"/>
          <w:u w:val="single"/>
        </w:rPr>
      </w:pPr>
      <w:r>
        <w:rPr>
          <w:rFonts w:ascii="Arial" w:hAnsi="Arial"/>
          <w:b/>
          <w:sz w:val="20"/>
          <w:u w:val="single"/>
        </w:rPr>
        <w:t>Other Characteristics of Rate of Return</w:t>
      </w:r>
    </w:p>
    <w:p w:rsidR="005C70A5" w:rsidRDefault="005C70A5" w:rsidP="005C70A5">
      <w:pPr>
        <w:pStyle w:val="123"/>
        <w:numPr>
          <w:ilvl w:val="0"/>
          <w:numId w:val="0"/>
        </w:numPr>
        <w:spacing w:after="0"/>
        <w:ind w:left="180"/>
        <w:rPr>
          <w:rFonts w:ascii="Arial" w:hAnsi="Arial"/>
          <w:sz w:val="20"/>
        </w:rPr>
      </w:pPr>
      <w:r>
        <w:rPr>
          <w:rFonts w:ascii="Arial" w:hAnsi="Arial"/>
          <w:sz w:val="20"/>
        </w:rPr>
        <w:t>In complying with the objectives of the Policy, the Manager will employ a dynamic and flexible approach as called for by changing economic and capital market environments. Fundamental industry, company and credit analysis should be the primary basis for the investment decisions, coupled with sensitivity to both market factors and price.</w:t>
      </w:r>
    </w:p>
    <w:p w:rsidR="005C70A5" w:rsidRDefault="005C70A5" w:rsidP="005C70A5">
      <w:pPr>
        <w:pStyle w:val="123"/>
        <w:numPr>
          <w:ilvl w:val="0"/>
          <w:numId w:val="0"/>
        </w:numPr>
        <w:spacing w:after="0"/>
        <w:ind w:left="180"/>
        <w:rPr>
          <w:rFonts w:ascii="Arial" w:hAnsi="Arial"/>
          <w:b/>
          <w:sz w:val="20"/>
          <w:u w:val="single"/>
        </w:rPr>
      </w:pPr>
    </w:p>
    <w:p w:rsidR="005C70A5" w:rsidRDefault="005C70A5" w:rsidP="005C70A5">
      <w:pPr>
        <w:pStyle w:val="123"/>
        <w:numPr>
          <w:ilvl w:val="0"/>
          <w:numId w:val="0"/>
        </w:numPr>
        <w:spacing w:after="0"/>
        <w:ind w:left="180"/>
        <w:rPr>
          <w:rFonts w:ascii="Arial" w:hAnsi="Arial"/>
          <w:sz w:val="20"/>
        </w:rPr>
      </w:pPr>
      <w:r>
        <w:rPr>
          <w:rFonts w:ascii="Arial" w:hAnsi="Arial"/>
          <w:b/>
          <w:sz w:val="20"/>
          <w:u w:val="single"/>
        </w:rPr>
        <w:t>Diversification and Investment Quality</w:t>
      </w:r>
    </w:p>
    <w:p w:rsidR="005C70A5" w:rsidRDefault="005C70A5" w:rsidP="005C70A5">
      <w:pPr>
        <w:pStyle w:val="123"/>
        <w:numPr>
          <w:ilvl w:val="0"/>
          <w:numId w:val="0"/>
        </w:numPr>
        <w:spacing w:after="0"/>
        <w:ind w:left="180"/>
        <w:rPr>
          <w:rFonts w:ascii="Arial" w:hAnsi="Arial"/>
          <w:sz w:val="20"/>
        </w:rPr>
      </w:pPr>
      <w:r>
        <w:rPr>
          <w:rFonts w:ascii="Arial" w:hAnsi="Arial"/>
          <w:sz w:val="20"/>
        </w:rPr>
        <w:t xml:space="preserve">The Manager shall maintain a diversified Portfolio consistent with this Policy at all times. Adequate diversification should include geographic and sector diversity, but also requires limiting concentration in groups of securities subject to a single significant economic, social or political event. </w:t>
      </w:r>
    </w:p>
    <w:p w:rsidR="005C70A5" w:rsidRDefault="005C70A5" w:rsidP="005C70A5">
      <w:pPr>
        <w:pStyle w:val="123"/>
        <w:numPr>
          <w:ilvl w:val="0"/>
          <w:numId w:val="0"/>
        </w:numPr>
        <w:spacing w:after="0"/>
        <w:ind w:left="720" w:hanging="720"/>
        <w:rPr>
          <w:rFonts w:ascii="Arial" w:hAnsi="Arial"/>
          <w:b/>
          <w:sz w:val="20"/>
        </w:rPr>
      </w:pPr>
    </w:p>
    <w:p w:rsidR="005C70A5" w:rsidRDefault="005C70A5" w:rsidP="005C70A5">
      <w:pPr>
        <w:pStyle w:val="123"/>
        <w:numPr>
          <w:ilvl w:val="0"/>
          <w:numId w:val="11"/>
        </w:numPr>
        <w:spacing w:after="0"/>
        <w:rPr>
          <w:rFonts w:ascii="Arial" w:hAnsi="Arial"/>
          <w:b/>
          <w:sz w:val="20"/>
        </w:rPr>
      </w:pPr>
      <w:r>
        <w:rPr>
          <w:rFonts w:ascii="Arial" w:hAnsi="Arial"/>
          <w:b/>
          <w:sz w:val="20"/>
        </w:rPr>
        <w:t>INVESTMENT RESTRICTIONS</w:t>
      </w:r>
    </w:p>
    <w:p w:rsidR="005C70A5" w:rsidRDefault="005C70A5" w:rsidP="005C70A5">
      <w:pPr>
        <w:pStyle w:val="123"/>
        <w:numPr>
          <w:ilvl w:val="0"/>
          <w:numId w:val="0"/>
        </w:numPr>
        <w:spacing w:after="0"/>
        <w:ind w:left="180"/>
        <w:rPr>
          <w:rFonts w:ascii="Arial" w:hAnsi="Arial"/>
          <w:sz w:val="20"/>
        </w:rPr>
      </w:pPr>
      <w:r>
        <w:rPr>
          <w:rFonts w:ascii="Arial" w:hAnsi="Arial"/>
          <w:sz w:val="20"/>
        </w:rPr>
        <w:t>The Committee may restrict specific investments from the Portfolio on grounds other than economic risk and reward. Should the Committee restrict security investments, a list of the prohibited investments will be given to the Manager. This list may be periodically updated.</w:t>
      </w:r>
    </w:p>
    <w:p w:rsidR="005C70A5" w:rsidRDefault="005C70A5" w:rsidP="005C70A5">
      <w:pPr>
        <w:pStyle w:val="123"/>
        <w:numPr>
          <w:ilvl w:val="0"/>
          <w:numId w:val="0"/>
        </w:numPr>
        <w:spacing w:after="0"/>
        <w:ind w:left="720" w:hanging="720"/>
        <w:rPr>
          <w:rFonts w:ascii="Arial" w:hAnsi="Arial"/>
          <w:b/>
          <w:sz w:val="20"/>
        </w:rPr>
      </w:pPr>
    </w:p>
    <w:p w:rsidR="005C70A5" w:rsidRDefault="005C70A5" w:rsidP="005C70A5">
      <w:pPr>
        <w:pStyle w:val="123"/>
        <w:numPr>
          <w:ilvl w:val="0"/>
          <w:numId w:val="11"/>
        </w:numPr>
        <w:spacing w:after="0"/>
        <w:rPr>
          <w:rFonts w:ascii="Arial" w:hAnsi="Arial"/>
          <w:b/>
          <w:sz w:val="20"/>
        </w:rPr>
      </w:pPr>
      <w:r>
        <w:rPr>
          <w:rFonts w:ascii="Arial" w:hAnsi="Arial"/>
          <w:b/>
          <w:sz w:val="20"/>
        </w:rPr>
        <w:t>PORTFOLIO REVIEWS</w:t>
      </w:r>
    </w:p>
    <w:p w:rsidR="005C70A5" w:rsidRDefault="005C70A5" w:rsidP="005C70A5">
      <w:pPr>
        <w:pStyle w:val="123"/>
        <w:numPr>
          <w:ilvl w:val="0"/>
          <w:numId w:val="0"/>
        </w:numPr>
        <w:spacing w:after="0"/>
        <w:ind w:left="180"/>
        <w:rPr>
          <w:rFonts w:ascii="Arial" w:hAnsi="Arial"/>
          <w:sz w:val="20"/>
        </w:rPr>
      </w:pPr>
      <w:r>
        <w:rPr>
          <w:rFonts w:ascii="Arial" w:hAnsi="Arial"/>
          <w:sz w:val="20"/>
        </w:rPr>
        <w:t>Portfolio reviews with the Committee will be held at least annually and sufficiently after the close of the year to have performance measurement results available for review. The materials for this meeting should include, but not be limited to:</w:t>
      </w:r>
    </w:p>
    <w:p w:rsidR="005C70A5" w:rsidRDefault="005C70A5" w:rsidP="005C70A5">
      <w:pPr>
        <w:pStyle w:val="123"/>
        <w:numPr>
          <w:ilvl w:val="0"/>
          <w:numId w:val="6"/>
        </w:numPr>
        <w:spacing w:after="0"/>
        <w:rPr>
          <w:rFonts w:ascii="Arial" w:hAnsi="Arial"/>
          <w:sz w:val="20"/>
        </w:rPr>
      </w:pPr>
      <w:r>
        <w:rPr>
          <w:rFonts w:ascii="Arial" w:hAnsi="Arial"/>
          <w:sz w:val="20"/>
        </w:rPr>
        <w:t>Forward look at the economic and market environment, and the Portfolio’s posture given potential scenarios.</w:t>
      </w:r>
    </w:p>
    <w:p w:rsidR="005C70A5" w:rsidRDefault="005C70A5" w:rsidP="005C70A5">
      <w:pPr>
        <w:pStyle w:val="123"/>
        <w:numPr>
          <w:ilvl w:val="0"/>
          <w:numId w:val="6"/>
        </w:numPr>
        <w:spacing w:after="0"/>
        <w:rPr>
          <w:rFonts w:ascii="Arial" w:hAnsi="Arial"/>
          <w:sz w:val="20"/>
        </w:rPr>
      </w:pPr>
      <w:r>
        <w:rPr>
          <w:rFonts w:ascii="Arial" w:hAnsi="Arial"/>
          <w:sz w:val="20"/>
        </w:rPr>
        <w:t>Investment environment and strategy employed for the most recent year, with particular attention to departures from prior outlook report.</w:t>
      </w:r>
    </w:p>
    <w:p w:rsidR="005C70A5" w:rsidRDefault="005C70A5" w:rsidP="005C70A5">
      <w:pPr>
        <w:pStyle w:val="123"/>
        <w:numPr>
          <w:ilvl w:val="0"/>
          <w:numId w:val="6"/>
        </w:numPr>
        <w:spacing w:after="0"/>
        <w:rPr>
          <w:rFonts w:ascii="Arial" w:hAnsi="Arial"/>
          <w:sz w:val="20"/>
        </w:rPr>
      </w:pPr>
      <w:r>
        <w:rPr>
          <w:rFonts w:ascii="Arial" w:hAnsi="Arial"/>
          <w:sz w:val="20"/>
        </w:rPr>
        <w:t>Performance of the Portfolio and underlying assets classes relative to stated benchmarks, including returns for 1, 3 and 12-months, and 3 and 5-year periods, when available.</w:t>
      </w:r>
    </w:p>
    <w:p w:rsidR="005C70A5" w:rsidRDefault="005C70A5" w:rsidP="005C70A5">
      <w:pPr>
        <w:pStyle w:val="123"/>
        <w:numPr>
          <w:ilvl w:val="0"/>
          <w:numId w:val="6"/>
        </w:numPr>
        <w:spacing w:after="0"/>
        <w:rPr>
          <w:rFonts w:ascii="Arial" w:hAnsi="Arial"/>
          <w:sz w:val="20"/>
        </w:rPr>
      </w:pPr>
      <w:r>
        <w:rPr>
          <w:rFonts w:ascii="Arial" w:hAnsi="Arial"/>
          <w:sz w:val="20"/>
        </w:rPr>
        <w:t>Administrative, procedural or other matters.</w:t>
      </w:r>
    </w:p>
    <w:p w:rsidR="005C70A5" w:rsidRDefault="005C70A5" w:rsidP="005C70A5">
      <w:pPr>
        <w:pStyle w:val="123"/>
        <w:numPr>
          <w:ilvl w:val="0"/>
          <w:numId w:val="6"/>
        </w:numPr>
        <w:spacing w:after="0"/>
        <w:rPr>
          <w:rFonts w:ascii="Arial" w:hAnsi="Arial"/>
          <w:sz w:val="20"/>
        </w:rPr>
      </w:pPr>
      <w:r>
        <w:rPr>
          <w:rFonts w:ascii="Arial" w:hAnsi="Arial"/>
          <w:sz w:val="20"/>
        </w:rPr>
        <w:t>Other items of importance which may occur, such as changes in our working relationship if necessary to comply with pertinent legislation: material changes in the Manager’s organization; investment philosophy or outlook; recommendations concerning any change in policy which the Manager believes should be considered by the Committee.</w:t>
      </w:r>
    </w:p>
    <w:p w:rsidR="005C70A5" w:rsidRDefault="005C70A5" w:rsidP="005C70A5">
      <w:pPr>
        <w:pStyle w:val="123"/>
        <w:numPr>
          <w:ilvl w:val="0"/>
          <w:numId w:val="0"/>
        </w:numPr>
        <w:spacing w:after="0"/>
        <w:ind w:left="180"/>
        <w:rPr>
          <w:rFonts w:ascii="Arial" w:hAnsi="Arial"/>
          <w:sz w:val="20"/>
        </w:rPr>
      </w:pPr>
    </w:p>
    <w:p w:rsidR="005C70A5" w:rsidRDefault="005C70A5" w:rsidP="005C70A5">
      <w:pPr>
        <w:pStyle w:val="123"/>
        <w:numPr>
          <w:ilvl w:val="0"/>
          <w:numId w:val="0"/>
        </w:numPr>
        <w:spacing w:after="0"/>
        <w:ind w:left="180"/>
        <w:rPr>
          <w:rFonts w:ascii="Arial" w:hAnsi="Arial"/>
          <w:sz w:val="20"/>
        </w:rPr>
      </w:pPr>
      <w:r>
        <w:rPr>
          <w:rFonts w:ascii="Arial" w:hAnsi="Arial"/>
          <w:sz w:val="20"/>
        </w:rPr>
        <w:t>In addition to a monthly statement, a written quarterly report is required and should include, but not be limited to, the following information:</w:t>
      </w:r>
    </w:p>
    <w:p w:rsidR="005C70A5" w:rsidRDefault="005C70A5" w:rsidP="005C70A5">
      <w:pPr>
        <w:pStyle w:val="123"/>
        <w:numPr>
          <w:ilvl w:val="0"/>
          <w:numId w:val="7"/>
        </w:numPr>
        <w:spacing w:after="0"/>
        <w:ind w:left="900" w:hanging="540"/>
        <w:rPr>
          <w:rFonts w:ascii="Arial" w:hAnsi="Arial"/>
          <w:sz w:val="20"/>
        </w:rPr>
      </w:pPr>
      <w:r>
        <w:rPr>
          <w:rFonts w:ascii="Arial" w:hAnsi="Arial"/>
          <w:sz w:val="20"/>
        </w:rPr>
        <w:t>Statement of assets in the Manager’s current format.</w:t>
      </w:r>
    </w:p>
    <w:p w:rsidR="005C70A5" w:rsidRDefault="005C70A5" w:rsidP="005C70A5">
      <w:pPr>
        <w:pStyle w:val="123"/>
        <w:numPr>
          <w:ilvl w:val="0"/>
          <w:numId w:val="7"/>
        </w:numPr>
        <w:spacing w:after="0"/>
        <w:ind w:left="900" w:hanging="540"/>
        <w:rPr>
          <w:rFonts w:ascii="Arial" w:hAnsi="Arial"/>
          <w:sz w:val="20"/>
        </w:rPr>
      </w:pPr>
      <w:r>
        <w:rPr>
          <w:rFonts w:ascii="Arial" w:hAnsi="Arial"/>
          <w:sz w:val="20"/>
        </w:rPr>
        <w:t>Statement of the current asset mix or allocation.</w:t>
      </w:r>
    </w:p>
    <w:p w:rsidR="005C70A5" w:rsidRDefault="005C70A5" w:rsidP="005C70A5">
      <w:pPr>
        <w:pStyle w:val="123"/>
        <w:numPr>
          <w:ilvl w:val="0"/>
          <w:numId w:val="7"/>
        </w:numPr>
        <w:spacing w:after="0"/>
        <w:ind w:left="900" w:hanging="540"/>
        <w:rPr>
          <w:rFonts w:ascii="Arial" w:hAnsi="Arial"/>
          <w:sz w:val="20"/>
        </w:rPr>
      </w:pPr>
      <w:r>
        <w:rPr>
          <w:rFonts w:ascii="Arial" w:hAnsi="Arial"/>
          <w:sz w:val="20"/>
        </w:rPr>
        <w:t>Quarterly performance measures and benchmark comparisons.</w:t>
      </w:r>
    </w:p>
    <w:p w:rsidR="005C70A5" w:rsidRDefault="005C70A5" w:rsidP="005C70A5">
      <w:pPr>
        <w:pStyle w:val="123"/>
        <w:numPr>
          <w:ilvl w:val="0"/>
          <w:numId w:val="7"/>
        </w:numPr>
        <w:spacing w:after="0"/>
        <w:ind w:left="900" w:hanging="540"/>
        <w:rPr>
          <w:rFonts w:ascii="Arial" w:hAnsi="Arial"/>
          <w:sz w:val="20"/>
        </w:rPr>
      </w:pPr>
      <w:r>
        <w:rPr>
          <w:rFonts w:ascii="Arial" w:hAnsi="Arial"/>
          <w:sz w:val="20"/>
        </w:rPr>
        <w:t>Statement of transactions in the Asset custodian’s current format.</w:t>
      </w:r>
    </w:p>
    <w:p w:rsidR="005C70A5" w:rsidRDefault="005C70A5" w:rsidP="005C70A5">
      <w:pPr>
        <w:pStyle w:val="123"/>
        <w:numPr>
          <w:ilvl w:val="0"/>
          <w:numId w:val="0"/>
        </w:numPr>
        <w:spacing w:after="0"/>
        <w:rPr>
          <w:rFonts w:ascii="Arial" w:hAnsi="Arial"/>
          <w:b/>
          <w:sz w:val="20"/>
        </w:rPr>
      </w:pPr>
    </w:p>
    <w:p w:rsidR="005C70A5" w:rsidRDefault="005C70A5" w:rsidP="005C70A5">
      <w:pPr>
        <w:pStyle w:val="123"/>
        <w:numPr>
          <w:ilvl w:val="0"/>
          <w:numId w:val="11"/>
        </w:numPr>
        <w:spacing w:after="0"/>
        <w:rPr>
          <w:rFonts w:ascii="Arial" w:hAnsi="Arial"/>
          <w:b/>
          <w:sz w:val="20"/>
        </w:rPr>
      </w:pPr>
      <w:r>
        <w:rPr>
          <w:rFonts w:ascii="Arial" w:hAnsi="Arial"/>
          <w:b/>
          <w:sz w:val="20"/>
        </w:rPr>
        <w:t>MISCELLANEOUS</w:t>
      </w:r>
    </w:p>
    <w:p w:rsidR="005C70A5" w:rsidRDefault="005C70A5" w:rsidP="005C70A5">
      <w:pPr>
        <w:pStyle w:val="123"/>
        <w:numPr>
          <w:ilvl w:val="0"/>
          <w:numId w:val="0"/>
        </w:numPr>
        <w:spacing w:after="0"/>
        <w:ind w:left="180"/>
        <w:rPr>
          <w:rFonts w:ascii="Arial" w:hAnsi="Arial"/>
          <w:sz w:val="20"/>
        </w:rPr>
      </w:pPr>
      <w:r>
        <w:rPr>
          <w:rFonts w:ascii="Arial" w:hAnsi="Arial"/>
          <w:sz w:val="20"/>
        </w:rPr>
        <w:t>For the calculation of percentages in one a particular security, market value will be used as the basis unless otherwise indicated.</w:t>
      </w:r>
    </w:p>
    <w:p w:rsidR="005C70A5" w:rsidRDefault="005C70A5" w:rsidP="005C70A5">
      <w:pPr>
        <w:pStyle w:val="123"/>
        <w:numPr>
          <w:ilvl w:val="0"/>
          <w:numId w:val="0"/>
        </w:numPr>
        <w:spacing w:after="0"/>
        <w:ind w:left="180"/>
        <w:rPr>
          <w:rFonts w:ascii="Arial" w:hAnsi="Arial"/>
          <w:sz w:val="20"/>
        </w:rPr>
      </w:pPr>
    </w:p>
    <w:p w:rsidR="005C70A5" w:rsidRDefault="005C70A5" w:rsidP="005C70A5">
      <w:pPr>
        <w:pStyle w:val="123"/>
        <w:numPr>
          <w:ilvl w:val="0"/>
          <w:numId w:val="0"/>
        </w:numPr>
        <w:spacing w:after="0"/>
        <w:ind w:left="180"/>
        <w:rPr>
          <w:rFonts w:ascii="Arial" w:hAnsi="Arial"/>
          <w:sz w:val="20"/>
        </w:rPr>
      </w:pPr>
      <w:r>
        <w:rPr>
          <w:rFonts w:ascii="Arial" w:hAnsi="Arial"/>
          <w:sz w:val="20"/>
        </w:rPr>
        <w:t xml:space="preserve">The Manager will use its own judgment in placing securities transactions with brokerage firms, unless otherwise directed by the Committee. All transactions should be entered into on the basis of best execution. Notwithstanding the above, the Manager is expected to deal with financially strong firms capable of </w:t>
      </w:r>
      <w:r>
        <w:rPr>
          <w:rFonts w:ascii="Arial" w:hAnsi="Arial"/>
          <w:sz w:val="20"/>
        </w:rPr>
        <w:t xml:space="preserve">providing </w:t>
      </w:r>
      <w:r>
        <w:rPr>
          <w:rFonts w:ascii="Arial" w:hAnsi="Arial"/>
          <w:sz w:val="20"/>
        </w:rPr>
        <w:t>a reasonable combination of price, commission and service.</w:t>
      </w:r>
    </w:p>
    <w:p w:rsidR="005C70A5" w:rsidRDefault="005C70A5" w:rsidP="005C70A5">
      <w:pPr>
        <w:pStyle w:val="123"/>
        <w:numPr>
          <w:ilvl w:val="0"/>
          <w:numId w:val="0"/>
        </w:numPr>
        <w:spacing w:after="0"/>
        <w:ind w:left="180"/>
        <w:rPr>
          <w:rFonts w:ascii="Arial" w:hAnsi="Arial"/>
          <w:sz w:val="20"/>
        </w:rPr>
      </w:pPr>
    </w:p>
    <w:p w:rsidR="005C70A5" w:rsidRDefault="005C70A5" w:rsidP="005C70A5">
      <w:pPr>
        <w:pStyle w:val="123"/>
        <w:numPr>
          <w:ilvl w:val="0"/>
          <w:numId w:val="0"/>
        </w:numPr>
        <w:spacing w:after="0"/>
        <w:ind w:left="180"/>
        <w:rPr>
          <w:rFonts w:ascii="Arial" w:hAnsi="Arial"/>
          <w:sz w:val="20"/>
        </w:rPr>
      </w:pPr>
      <w:r>
        <w:rPr>
          <w:rFonts w:ascii="Arial" w:hAnsi="Arial"/>
          <w:sz w:val="20"/>
        </w:rPr>
        <w:t>All changes or exceptions to this document will be in writing, signed by the representatives of the Committee and delivered to the Manager.</w:t>
      </w:r>
    </w:p>
    <w:p w:rsidR="005C70A5" w:rsidRDefault="005C70A5" w:rsidP="005C70A5">
      <w:pPr>
        <w:pStyle w:val="123"/>
        <w:numPr>
          <w:ilvl w:val="0"/>
          <w:numId w:val="0"/>
        </w:numPr>
        <w:spacing w:after="0"/>
        <w:jc w:val="both"/>
        <w:rPr>
          <w:rFonts w:ascii="Arial" w:hAnsi="Arial"/>
          <w:sz w:val="20"/>
        </w:rPr>
      </w:pPr>
    </w:p>
    <w:p w:rsidR="005C70A5" w:rsidRDefault="005C70A5" w:rsidP="005C70A5">
      <w:pPr>
        <w:pStyle w:val="123"/>
        <w:numPr>
          <w:ilvl w:val="0"/>
          <w:numId w:val="0"/>
        </w:numPr>
        <w:spacing w:after="0"/>
        <w:jc w:val="both"/>
        <w:rPr>
          <w:rFonts w:ascii="Arial" w:hAnsi="Arial"/>
          <w:b/>
          <w:sz w:val="20"/>
        </w:rPr>
      </w:pPr>
    </w:p>
    <w:p w:rsidR="005C70A5" w:rsidRDefault="005C70A5" w:rsidP="005C70A5">
      <w:pPr>
        <w:pStyle w:val="123"/>
        <w:numPr>
          <w:ilvl w:val="0"/>
          <w:numId w:val="0"/>
        </w:numPr>
        <w:spacing w:after="0"/>
        <w:jc w:val="both"/>
        <w:rPr>
          <w:rFonts w:ascii="Arial" w:hAnsi="Arial"/>
          <w:b/>
          <w:sz w:val="20"/>
        </w:rPr>
      </w:pPr>
    </w:p>
    <w:p w:rsidR="005C70A5" w:rsidRDefault="005C70A5" w:rsidP="005C70A5">
      <w:pPr>
        <w:pStyle w:val="123"/>
        <w:numPr>
          <w:ilvl w:val="0"/>
          <w:numId w:val="0"/>
        </w:numPr>
        <w:spacing w:after="0"/>
        <w:jc w:val="both"/>
        <w:rPr>
          <w:rFonts w:ascii="Arial" w:hAnsi="Arial"/>
          <w:b/>
          <w:sz w:val="20"/>
        </w:rPr>
      </w:pPr>
      <w:r>
        <w:rPr>
          <w:rFonts w:ascii="Arial" w:hAnsi="Arial"/>
          <w:b/>
          <w:sz w:val="20"/>
        </w:rPr>
        <w:t xml:space="preserve">AGREED: </w:t>
      </w:r>
    </w:p>
    <w:p w:rsidR="005C70A5" w:rsidRDefault="005C70A5" w:rsidP="005C70A5">
      <w:pPr>
        <w:pStyle w:val="123"/>
        <w:numPr>
          <w:ilvl w:val="0"/>
          <w:numId w:val="0"/>
        </w:numPr>
        <w:spacing w:after="0"/>
        <w:jc w:val="both"/>
        <w:rPr>
          <w:rFonts w:ascii="Arial" w:hAnsi="Arial"/>
          <w:sz w:val="20"/>
        </w:rPr>
      </w:pPr>
    </w:p>
    <w:p w:rsidR="005C70A5" w:rsidRDefault="005C70A5" w:rsidP="005C70A5">
      <w:pPr>
        <w:spacing w:after="0"/>
        <w:rPr>
          <w:rFonts w:ascii="Arial" w:hAnsi="Arial"/>
          <w:sz w:val="20"/>
        </w:rPr>
      </w:pPr>
    </w:p>
    <w:p w:rsidR="005C70A5" w:rsidRDefault="005C70A5" w:rsidP="005C70A5">
      <w:pPr>
        <w:spacing w:after="0"/>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5C70A5" w:rsidRDefault="005C70A5" w:rsidP="005C70A5">
      <w:pPr>
        <w:spacing w:after="0"/>
        <w:rPr>
          <w:rFonts w:ascii="Arial" w:hAnsi="Arial"/>
          <w:sz w:val="20"/>
        </w:rPr>
      </w:pPr>
      <w:r>
        <w:rPr>
          <w:rFonts w:ascii="Arial" w:hAnsi="Arial"/>
          <w:sz w:val="20"/>
        </w:rPr>
        <w:t>Chair, Investment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5C70A5" w:rsidRDefault="005C70A5" w:rsidP="005C70A5">
      <w:pPr>
        <w:spacing w:after="0"/>
        <w:rPr>
          <w:rFonts w:ascii="Arial" w:hAnsi="Arial"/>
          <w:sz w:val="20"/>
        </w:rPr>
      </w:pPr>
    </w:p>
    <w:p w:rsidR="005C70A5" w:rsidRDefault="005C70A5" w:rsidP="005C70A5">
      <w:pPr>
        <w:spacing w:after="0"/>
        <w:rPr>
          <w:rFonts w:ascii="Arial" w:hAnsi="Arial"/>
          <w:sz w:val="20"/>
        </w:rPr>
      </w:pPr>
    </w:p>
    <w:p w:rsidR="005C70A5" w:rsidRDefault="005C70A5" w:rsidP="005C70A5">
      <w:pPr>
        <w:spacing w:after="0"/>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5C70A5" w:rsidRDefault="005C70A5" w:rsidP="005C70A5">
      <w:pPr>
        <w:spacing w:after="0"/>
        <w:rPr>
          <w:rFonts w:ascii="Arial" w:hAnsi="Arial"/>
          <w:sz w:val="20"/>
        </w:rPr>
      </w:pPr>
      <w:r>
        <w:rPr>
          <w:rFonts w:ascii="Arial" w:hAnsi="Arial"/>
          <w:sz w:val="20"/>
        </w:rPr>
        <w:t>Chair, Board of Directors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5C70A5" w:rsidRDefault="005C70A5" w:rsidP="005C70A5">
      <w:pPr>
        <w:spacing w:after="0"/>
        <w:rPr>
          <w:rFonts w:ascii="Arial" w:hAnsi="Arial"/>
          <w:sz w:val="20"/>
        </w:rPr>
      </w:pPr>
    </w:p>
    <w:p w:rsidR="005C70A5" w:rsidRDefault="005C70A5" w:rsidP="005C70A5">
      <w:pPr>
        <w:spacing w:after="0"/>
        <w:rPr>
          <w:rFonts w:ascii="Arial" w:hAnsi="Arial"/>
          <w:sz w:val="20"/>
        </w:rPr>
      </w:pPr>
    </w:p>
    <w:p w:rsidR="005C70A5" w:rsidRDefault="005C70A5" w:rsidP="005C70A5">
      <w:pPr>
        <w:spacing w:after="0"/>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5C70A5" w:rsidRDefault="005C70A5" w:rsidP="005C70A5">
      <w:pPr>
        <w:spacing w:after="0"/>
        <w:rPr>
          <w:rFonts w:ascii="Arial" w:hAnsi="Arial"/>
          <w:sz w:val="20"/>
        </w:rPr>
      </w:pPr>
      <w:r>
        <w:rPr>
          <w:rFonts w:ascii="Arial" w:hAnsi="Arial"/>
          <w:sz w:val="20"/>
        </w:rPr>
        <w:t>Secretary, Board of Directors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5C70A5" w:rsidRDefault="005C70A5" w:rsidP="005C70A5">
      <w:pPr>
        <w:spacing w:after="0"/>
        <w:rPr>
          <w:rFonts w:ascii="Arial" w:hAnsi="Arial"/>
          <w:sz w:val="20"/>
        </w:rPr>
      </w:pPr>
    </w:p>
    <w:p w:rsidR="005C70A5" w:rsidRDefault="005C70A5" w:rsidP="005C70A5">
      <w:pPr>
        <w:spacing w:after="0"/>
        <w:rPr>
          <w:rFonts w:ascii="Arial" w:hAnsi="Arial"/>
          <w:sz w:val="20"/>
        </w:rPr>
      </w:pPr>
    </w:p>
    <w:p w:rsidR="005C70A5" w:rsidRDefault="005C70A5" w:rsidP="005C70A5">
      <w:pPr>
        <w:spacing w:after="0"/>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8B08A1" w:rsidRPr="00E26F76" w:rsidRDefault="005C70A5" w:rsidP="005C70A5">
      <w:pPr>
        <w:spacing w:after="0"/>
        <w:rPr>
          <w:rFonts w:ascii="Arial" w:hAnsi="Arial"/>
        </w:rPr>
      </w:pPr>
      <w:r>
        <w:rPr>
          <w:rFonts w:ascii="Arial" w:hAnsi="Arial"/>
          <w:sz w:val="20"/>
        </w:rPr>
        <w:t>President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Date</w:t>
      </w:r>
    </w:p>
    <w:sectPr w:rsidR="008B08A1" w:rsidRPr="00E26F76" w:rsidSect="00AC2D18">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B" w:rsidRDefault="005C70A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B" w:rsidRDefault="005C70A5">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B" w:rsidRDefault="005C70A5">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B" w:rsidRDefault="005C70A5">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B" w:rsidRPr="00E33A3B" w:rsidRDefault="005C70A5">
    <w:pPr>
      <w:pStyle w:val="Header"/>
      <w:rPr>
        <w:rFonts w:ascii="Arial" w:hAnsi="Arial"/>
        <w:sz w:val="20"/>
      </w:rP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B" w:rsidRDefault="005C70A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9B3"/>
    <w:multiLevelType w:val="hybridMultilevel"/>
    <w:tmpl w:val="60F64AC0"/>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nsid w:val="1FDE4C3E"/>
    <w:multiLevelType w:val="singleLevel"/>
    <w:tmpl w:val="2E0C04A0"/>
    <w:lvl w:ilvl="0">
      <w:start w:val="1"/>
      <w:numFmt w:val="upperLetter"/>
      <w:lvlText w:val="%1."/>
      <w:lvlJc w:val="left"/>
      <w:pPr>
        <w:tabs>
          <w:tab w:val="num" w:pos="360"/>
        </w:tabs>
        <w:ind w:left="360" w:hanging="360"/>
      </w:pPr>
    </w:lvl>
  </w:abstractNum>
  <w:abstractNum w:abstractNumId="2">
    <w:nsid w:val="2CBD7CAD"/>
    <w:multiLevelType w:val="hybridMultilevel"/>
    <w:tmpl w:val="770A3D4A"/>
    <w:lvl w:ilvl="0" w:tplc="1CF8D65C">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3AF0C99"/>
    <w:multiLevelType w:val="hybridMultilevel"/>
    <w:tmpl w:val="C7221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E81DD1"/>
    <w:multiLevelType w:val="singleLevel"/>
    <w:tmpl w:val="4696673C"/>
    <w:lvl w:ilvl="0">
      <w:start w:val="1"/>
      <w:numFmt w:val="decimal"/>
      <w:lvlText w:val="%1."/>
      <w:legacy w:legacy="1" w:legacySpace="0" w:legacyIndent="720"/>
      <w:lvlJc w:val="left"/>
      <w:pPr>
        <w:ind w:left="1440" w:hanging="720"/>
      </w:pPr>
    </w:lvl>
  </w:abstractNum>
  <w:abstractNum w:abstractNumId="5">
    <w:nsid w:val="3DAF1C86"/>
    <w:multiLevelType w:val="hybridMultilevel"/>
    <w:tmpl w:val="ED020804"/>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3F86411B"/>
    <w:multiLevelType w:val="hybridMultilevel"/>
    <w:tmpl w:val="40F69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7840D1"/>
    <w:multiLevelType w:val="hybridMultilevel"/>
    <w:tmpl w:val="19064678"/>
    <w:lvl w:ilvl="0" w:tplc="1CF8D65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F8224D"/>
    <w:multiLevelType w:val="hybridMultilevel"/>
    <w:tmpl w:val="18F4A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B327C3"/>
    <w:multiLevelType w:val="hybridMultilevel"/>
    <w:tmpl w:val="3AD2F6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9325226"/>
    <w:multiLevelType w:val="hybridMultilevel"/>
    <w:tmpl w:val="AA507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6"/>
  </w:num>
  <w:num w:numId="6">
    <w:abstractNumId w:val="3"/>
  </w:num>
  <w:num w:numId="7">
    <w:abstractNumId w:val="10"/>
  </w:num>
  <w:num w:numId="8">
    <w:abstractNumId w:val="4"/>
  </w:num>
  <w:num w:numId="9">
    <w:abstractNumId w:val="9"/>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4098"/>
  </w:hdrShapeDefaults>
  <w:compat>
    <w:doNotAutofitConstrainedTables/>
    <w:splitPgBreakAndParaMark/>
    <w:doNotVertAlignCellWithSp/>
    <w:doNotBreakConstrainedForcedTable/>
    <w:useAnsiKerningPairs/>
    <w:cachedColBalance/>
  </w:compat>
  <w:rsids>
    <w:rsidRoot w:val="005C70A5"/>
    <w:rsid w:val="005C70A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A1"/>
  </w:style>
  <w:style w:type="paragraph" w:styleId="Heading1">
    <w:name w:val="heading 1"/>
    <w:basedOn w:val="Normal"/>
    <w:next w:val="Normal"/>
    <w:link w:val="Heading1Char"/>
    <w:qFormat/>
    <w:rsid w:val="005C70A5"/>
    <w:pPr>
      <w:keepNext/>
      <w:spacing w:after="120" w:line="260" w:lineRule="exact"/>
      <w:ind w:left="540" w:hanging="540"/>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5C70A5"/>
    <w:pPr>
      <w:keepNext/>
      <w:spacing w:before="120" w:after="120" w:line="260" w:lineRule="exact"/>
      <w:jc w:val="both"/>
      <w:outlineLvl w:val="1"/>
    </w:pPr>
    <w:rPr>
      <w:rFonts w:ascii="Times New Roman" w:eastAsia="Times New Roman" w:hAnsi="Times New Roman" w:cs="Times New Roman"/>
      <w:szCs w:val="20"/>
      <w:u w:val="single"/>
    </w:rPr>
  </w:style>
  <w:style w:type="paragraph" w:styleId="Heading3">
    <w:name w:val="heading 3"/>
    <w:basedOn w:val="Normal"/>
    <w:next w:val="Normal"/>
    <w:link w:val="Heading3Char"/>
    <w:qFormat/>
    <w:rsid w:val="005C70A5"/>
    <w:pPr>
      <w:keepNext/>
      <w:spacing w:before="120" w:after="120" w:line="260" w:lineRule="exact"/>
      <w:outlineLvl w:val="2"/>
    </w:pPr>
    <w:rPr>
      <w:rFonts w:ascii="Times New Roman" w:eastAsia="Times New Roman" w:hAnsi="Times New Roman" w:cs="Times New Roman"/>
      <w:b/>
      <w:szCs w:val="20"/>
      <w:u w:val="single"/>
    </w:rPr>
  </w:style>
  <w:style w:type="paragraph" w:styleId="Heading4">
    <w:name w:val="heading 4"/>
    <w:basedOn w:val="Normal"/>
    <w:next w:val="Normal"/>
    <w:link w:val="Heading4Char"/>
    <w:qFormat/>
    <w:rsid w:val="005C70A5"/>
    <w:pPr>
      <w:keepNext/>
      <w:pBdr>
        <w:top w:val="single" w:sz="4" w:space="1" w:color="auto"/>
        <w:left w:val="single" w:sz="4" w:space="4" w:color="auto"/>
        <w:bottom w:val="single" w:sz="4" w:space="31" w:color="auto"/>
        <w:right w:val="single" w:sz="4" w:space="4" w:color="auto"/>
      </w:pBdr>
      <w:spacing w:after="120"/>
      <w:jc w:val="center"/>
      <w:outlineLvl w:val="3"/>
    </w:pPr>
    <w:rPr>
      <w:rFonts w:ascii="Times New Roman" w:eastAsia="Times New Roman" w:hAnsi="Times New Roman" w:cs="Times New Roman"/>
      <w:b/>
      <w:sz w:val="32"/>
      <w:szCs w:val="20"/>
    </w:rPr>
  </w:style>
  <w:style w:type="paragraph" w:styleId="Heading5">
    <w:name w:val="heading 5"/>
    <w:basedOn w:val="Normal"/>
    <w:next w:val="Normal"/>
    <w:link w:val="Heading5Char"/>
    <w:qFormat/>
    <w:rsid w:val="005C70A5"/>
    <w:pPr>
      <w:keepNext/>
      <w:spacing w:after="0"/>
      <w:ind w:left="180"/>
      <w:outlineLvl w:val="4"/>
    </w:pPr>
    <w:rPr>
      <w:rFonts w:ascii="Arial" w:eastAsia="Times New Roman" w:hAnsi="Arial" w:cs="Times New Roman"/>
      <w:b/>
      <w:sz w:val="20"/>
      <w:szCs w:val="20"/>
    </w:rPr>
  </w:style>
  <w:style w:type="paragraph" w:styleId="Heading7">
    <w:name w:val="heading 7"/>
    <w:basedOn w:val="Normal"/>
    <w:next w:val="Normal"/>
    <w:link w:val="Heading7Char"/>
    <w:qFormat/>
    <w:rsid w:val="005C70A5"/>
    <w:pPr>
      <w:keepNext/>
      <w:pBdr>
        <w:top w:val="single" w:sz="4" w:space="1" w:color="auto"/>
        <w:left w:val="single" w:sz="4" w:space="4" w:color="auto"/>
        <w:bottom w:val="single" w:sz="4" w:space="1" w:color="auto"/>
        <w:right w:val="single" w:sz="4" w:space="4" w:color="auto"/>
      </w:pBdr>
      <w:spacing w:after="120"/>
      <w:jc w:val="center"/>
      <w:outlineLvl w:val="6"/>
    </w:pPr>
    <w:rPr>
      <w:rFonts w:ascii="Times New Roman" w:eastAsia="Times New Roman" w:hAnsi="Times New Roman" w:cs="Times New Roman"/>
      <w:b/>
      <w:sz w:val="28"/>
      <w:szCs w:val="20"/>
    </w:rPr>
  </w:style>
  <w:style w:type="paragraph" w:styleId="Heading8">
    <w:name w:val="heading 8"/>
    <w:basedOn w:val="Normal"/>
    <w:next w:val="Normal"/>
    <w:link w:val="Heading8Char"/>
    <w:qFormat/>
    <w:rsid w:val="005C70A5"/>
    <w:pPr>
      <w:spacing w:before="240" w:after="60"/>
      <w:outlineLvl w:val="7"/>
    </w:pPr>
    <w:rPr>
      <w:rFonts w:ascii="Times New Roman" w:eastAsia="Times New Roman" w:hAnsi="Times New Roman" w:cs="Times New Roman"/>
      <w:i/>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E33A3B"/>
    <w:pPr>
      <w:tabs>
        <w:tab w:val="center" w:pos="4320"/>
        <w:tab w:val="right" w:pos="8640"/>
      </w:tabs>
      <w:spacing w:after="0"/>
    </w:pPr>
  </w:style>
  <w:style w:type="character" w:customStyle="1" w:styleId="HeaderChar">
    <w:name w:val="Header Char"/>
    <w:basedOn w:val="DefaultParagraphFont"/>
    <w:link w:val="Header"/>
    <w:uiPriority w:val="99"/>
    <w:semiHidden/>
    <w:rsid w:val="00E33A3B"/>
  </w:style>
  <w:style w:type="paragraph" w:styleId="Footer">
    <w:name w:val="footer"/>
    <w:basedOn w:val="Normal"/>
    <w:link w:val="FooterChar"/>
    <w:unhideWhenUsed/>
    <w:rsid w:val="00E33A3B"/>
    <w:pPr>
      <w:tabs>
        <w:tab w:val="center" w:pos="4320"/>
        <w:tab w:val="right" w:pos="8640"/>
      </w:tabs>
      <w:spacing w:after="0"/>
    </w:pPr>
  </w:style>
  <w:style w:type="character" w:customStyle="1" w:styleId="FooterChar">
    <w:name w:val="Footer Char"/>
    <w:basedOn w:val="DefaultParagraphFont"/>
    <w:link w:val="Footer"/>
    <w:uiPriority w:val="99"/>
    <w:semiHidden/>
    <w:rsid w:val="00E33A3B"/>
  </w:style>
  <w:style w:type="character" w:customStyle="1" w:styleId="Heading1Char">
    <w:name w:val="Heading 1 Char"/>
    <w:basedOn w:val="DefaultParagraphFont"/>
    <w:link w:val="Heading1"/>
    <w:rsid w:val="005C70A5"/>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5C70A5"/>
    <w:rPr>
      <w:rFonts w:ascii="Times New Roman" w:eastAsia="Times New Roman" w:hAnsi="Times New Roman" w:cs="Times New Roman"/>
      <w:szCs w:val="20"/>
      <w:u w:val="single"/>
    </w:rPr>
  </w:style>
  <w:style w:type="character" w:customStyle="1" w:styleId="Heading3Char">
    <w:name w:val="Heading 3 Char"/>
    <w:basedOn w:val="DefaultParagraphFont"/>
    <w:link w:val="Heading3"/>
    <w:rsid w:val="005C70A5"/>
    <w:rPr>
      <w:rFonts w:ascii="Times New Roman" w:eastAsia="Times New Roman" w:hAnsi="Times New Roman" w:cs="Times New Roman"/>
      <w:b/>
      <w:szCs w:val="20"/>
      <w:u w:val="single"/>
    </w:rPr>
  </w:style>
  <w:style w:type="character" w:customStyle="1" w:styleId="Heading4Char">
    <w:name w:val="Heading 4 Char"/>
    <w:basedOn w:val="DefaultParagraphFont"/>
    <w:link w:val="Heading4"/>
    <w:rsid w:val="005C70A5"/>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5C70A5"/>
    <w:rPr>
      <w:rFonts w:ascii="Arial" w:eastAsia="Times New Roman" w:hAnsi="Arial" w:cs="Times New Roman"/>
      <w:b/>
      <w:sz w:val="20"/>
      <w:szCs w:val="20"/>
    </w:rPr>
  </w:style>
  <w:style w:type="character" w:customStyle="1" w:styleId="Heading7Char">
    <w:name w:val="Heading 7 Char"/>
    <w:basedOn w:val="DefaultParagraphFont"/>
    <w:link w:val="Heading7"/>
    <w:rsid w:val="005C70A5"/>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5C70A5"/>
    <w:rPr>
      <w:rFonts w:ascii="Times New Roman" w:eastAsia="Times New Roman" w:hAnsi="Times New Roman" w:cs="Times New Roman"/>
      <w:i/>
      <w:szCs w:val="20"/>
    </w:rPr>
  </w:style>
  <w:style w:type="paragraph" w:customStyle="1" w:styleId="Subheading">
    <w:name w:val="Subheading"/>
    <w:basedOn w:val="Normal"/>
    <w:rsid w:val="005C70A5"/>
    <w:pPr>
      <w:spacing w:before="120" w:after="120"/>
      <w:ind w:left="720" w:hanging="720"/>
    </w:pPr>
    <w:rPr>
      <w:rFonts w:ascii="Times New Roman" w:eastAsia="Times New Roman" w:hAnsi="Times New Roman" w:cs="Times New Roman"/>
      <w:szCs w:val="20"/>
    </w:rPr>
  </w:style>
  <w:style w:type="paragraph" w:customStyle="1" w:styleId="123">
    <w:name w:val="123"/>
    <w:basedOn w:val="Normal"/>
    <w:rsid w:val="005C70A5"/>
    <w:pPr>
      <w:spacing w:after="120"/>
      <w:ind w:left="1440" w:hanging="720"/>
    </w:pPr>
    <w:rPr>
      <w:rFonts w:ascii="Times New Roman" w:eastAsia="Times New Roman" w:hAnsi="Times New Roman" w:cs="Times New Roman"/>
      <w:sz w:val="22"/>
      <w:szCs w:val="20"/>
    </w:rPr>
  </w:style>
  <w:style w:type="paragraph" w:styleId="BodyTextIndent">
    <w:name w:val="Body Text Indent"/>
    <w:basedOn w:val="Normal"/>
    <w:link w:val="BodyTextIndentChar"/>
    <w:rsid w:val="005C70A5"/>
    <w:pPr>
      <w:spacing w:after="120" w:line="260" w:lineRule="exact"/>
      <w:ind w:left="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5C70A5"/>
    <w:rPr>
      <w:rFonts w:ascii="Times New Roman" w:eastAsia="Times New Roman" w:hAnsi="Times New Roman" w:cs="Times New Roman"/>
      <w:sz w:val="20"/>
      <w:szCs w:val="20"/>
    </w:rPr>
  </w:style>
  <w:style w:type="paragraph" w:styleId="BalloonText">
    <w:name w:val="Balloon Text"/>
    <w:basedOn w:val="Normal"/>
    <w:link w:val="BalloonTextChar"/>
    <w:semiHidden/>
    <w:rsid w:val="005C70A5"/>
    <w:pPr>
      <w:spacing w:after="120"/>
    </w:pPr>
    <w:rPr>
      <w:rFonts w:ascii="Tahoma" w:eastAsia="Times New Roman" w:hAnsi="Tahoma" w:cs="Times New Roman"/>
      <w:sz w:val="16"/>
      <w:szCs w:val="20"/>
    </w:rPr>
  </w:style>
  <w:style w:type="character" w:customStyle="1" w:styleId="BalloonTextChar">
    <w:name w:val="Balloon Text Char"/>
    <w:basedOn w:val="DefaultParagraphFont"/>
    <w:link w:val="BalloonText"/>
    <w:semiHidden/>
    <w:rsid w:val="005C70A5"/>
    <w:rPr>
      <w:rFonts w:ascii="Tahoma" w:eastAsia="Times New Roman" w:hAnsi="Tahoma" w:cs="Times New Roman"/>
      <w:sz w:val="16"/>
      <w:szCs w:val="20"/>
    </w:rPr>
  </w:style>
  <w:style w:type="character" w:styleId="PageNumber">
    <w:name w:val="page number"/>
    <w:basedOn w:val="DefaultParagraphFont"/>
    <w:rsid w:val="005C70A5"/>
  </w:style>
  <w:style w:type="paragraph" w:styleId="BodyText">
    <w:name w:val="Body Text"/>
    <w:basedOn w:val="Normal"/>
    <w:link w:val="BodyTextChar"/>
    <w:rsid w:val="005C70A5"/>
    <w:pPr>
      <w:spacing w:after="120"/>
      <w:jc w:val="center"/>
    </w:pPr>
    <w:rPr>
      <w:rFonts w:ascii="Times New Roman" w:eastAsia="Times New Roman" w:hAnsi="Times New Roman" w:cs="Times New Roman"/>
      <w:color w:val="FF0000"/>
      <w:szCs w:val="20"/>
    </w:rPr>
  </w:style>
  <w:style w:type="character" w:customStyle="1" w:styleId="BodyTextChar">
    <w:name w:val="Body Text Char"/>
    <w:basedOn w:val="DefaultParagraphFont"/>
    <w:link w:val="BodyText"/>
    <w:rsid w:val="005C70A5"/>
    <w:rPr>
      <w:rFonts w:ascii="Times New Roman" w:eastAsia="Times New Roman" w:hAnsi="Times New Roman" w:cs="Times New Roman"/>
      <w:color w:val="FF000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1754</Words>
  <Characters>9999</Characters>
  <Application>Microsoft Macintosh Word</Application>
  <DocSecurity>0</DocSecurity>
  <Lines>83</Lines>
  <Paragraphs>19</Paragraphs>
  <ScaleCrop>false</ScaleCrop>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Iliff</dc:creator>
  <cp:keywords/>
  <cp:lastModifiedBy>Elizabeth Iliff</cp:lastModifiedBy>
  <cp:revision>1</cp:revision>
  <dcterms:created xsi:type="dcterms:W3CDTF">2012-10-05T21:02:00Z</dcterms:created>
  <dcterms:modified xsi:type="dcterms:W3CDTF">2012-10-05T21:05:00Z</dcterms:modified>
</cp:coreProperties>
</file>